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935DB" w:rsidRDefault="00B935DB">
      <w:pPr>
        <w:pStyle w:val="BodyText"/>
        <w:rPr>
          <w:rFonts w:ascii="Times New Roman"/>
          <w:i w:val="0"/>
          <w:sz w:val="3"/>
        </w:rPr>
      </w:pPr>
    </w:p>
    <w:p w14:paraId="0A37501D" w14:textId="565A3DCE" w:rsidR="00B935DB" w:rsidRDefault="00F86E64">
      <w:pPr>
        <w:pStyle w:val="BodyText"/>
        <w:spacing w:line="20" w:lineRule="exact"/>
        <w:ind w:left="111"/>
        <w:rPr>
          <w:rFonts w:ascii="Times New Roman"/>
          <w:i w:val="0"/>
          <w:sz w:val="2"/>
        </w:rPr>
      </w:pPr>
      <w:r>
        <w:rPr>
          <w:rFonts w:ascii="Times New Roman"/>
          <w:i w:val="0"/>
          <w:noProof/>
          <w:sz w:val="2"/>
        </w:rPr>
        <mc:AlternateContent>
          <mc:Choice Requires="wpg">
            <w:drawing>
              <wp:inline distT="0" distB="0" distL="0" distR="0" wp14:anchorId="2DAB0986" wp14:editId="5B654022">
                <wp:extent cx="6896100" cy="6350"/>
                <wp:effectExtent l="635" t="0" r="0" b="3175"/>
                <wp:docPr id="3"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96100" cy="6350"/>
                          <a:chOff x="0" y="0"/>
                          <a:chExt cx="10860" cy="10"/>
                        </a:xfrm>
                      </wpg:grpSpPr>
                      <wps:wsp>
                        <wps:cNvPr id="4" name="docshape3"/>
                        <wps:cNvSpPr>
                          <a:spLocks noChangeArrowheads="1"/>
                        </wps:cNvSpPr>
                        <wps:spPr bwMode="auto">
                          <a:xfrm>
                            <a:off x="0" y="0"/>
                            <a:ext cx="1086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B2BBAF" id="docshapegroup2" o:spid="_x0000_s1026" style="width:543pt;height:.5pt;mso-position-horizontal-relative:char;mso-position-vertical-relative:line" coordsize="1086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">
                <v:rect id="docshape3" o:spid="_x0000_s1027" style="position:absolute;width:1086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68B34666" w14:textId="77777777" w:rsidR="00B935DB" w:rsidRDefault="7286F042">
      <w:pPr>
        <w:pStyle w:val="Heading1"/>
        <w:spacing w:before="29" w:line="240" w:lineRule="auto"/>
        <w:ind w:left="3268" w:right="3268" w:firstLine="0"/>
        <w:jc w:val="cente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0B89C849" w14:textId="77777777" w:rsidR="00B935DB" w:rsidRDefault="002D5F84">
      <w:pPr>
        <w:spacing w:before="38"/>
        <w:ind w:left="140" w:right="279"/>
        <w:rPr>
          <w:sz w:val="16"/>
        </w:rPr>
      </w:pPr>
      <w:r>
        <w:rPr>
          <w:sz w:val="16"/>
        </w:rPr>
        <w:t>If any of the proposed research in the application involves the generation of scientific data, this application is subject to the NIH Policy for Data Management and</w:t>
      </w:r>
      <w:r>
        <w:rPr>
          <w:spacing w:val="-3"/>
          <w:sz w:val="16"/>
        </w:rPr>
        <w:t xml:space="preserve"> </w:t>
      </w:r>
      <w:r>
        <w:rPr>
          <w:sz w:val="16"/>
        </w:rPr>
        <w:t>Sharing and requires</w:t>
      </w:r>
      <w:r>
        <w:rPr>
          <w:spacing w:val="-1"/>
          <w:sz w:val="16"/>
        </w:rPr>
        <w:t xml:space="preserve"> </w:t>
      </w:r>
      <w:r>
        <w:rPr>
          <w:sz w:val="16"/>
        </w:rPr>
        <w:t>submission of</w:t>
      </w:r>
      <w:r>
        <w:rPr>
          <w:spacing w:val="-1"/>
          <w:sz w:val="16"/>
        </w:rPr>
        <w:t xml:space="preserve"> </w:t>
      </w:r>
      <w:r>
        <w:rPr>
          <w:sz w:val="16"/>
        </w:rPr>
        <w:t>a Data</w:t>
      </w:r>
      <w:r>
        <w:rPr>
          <w:spacing w:val="-3"/>
          <w:sz w:val="16"/>
        </w:rPr>
        <w:t xml:space="preserve"> </w:t>
      </w:r>
      <w:r>
        <w:rPr>
          <w:sz w:val="16"/>
        </w:rPr>
        <w:t>Management and</w:t>
      </w:r>
      <w:r>
        <w:rPr>
          <w:spacing w:val="-2"/>
          <w:sz w:val="16"/>
        </w:rPr>
        <w:t xml:space="preserve"> </w:t>
      </w:r>
      <w:r>
        <w:rPr>
          <w:sz w:val="16"/>
        </w:rPr>
        <w:t>Sharing</w:t>
      </w:r>
      <w:r>
        <w:rPr>
          <w:spacing w:val="-3"/>
          <w:sz w:val="16"/>
        </w:rPr>
        <w:t xml:space="preserve"> </w:t>
      </w:r>
      <w:r>
        <w:rPr>
          <w:sz w:val="16"/>
        </w:rPr>
        <w:t>Plan.</w:t>
      </w:r>
      <w:r>
        <w:rPr>
          <w:spacing w:val="40"/>
          <w:sz w:val="16"/>
        </w:rPr>
        <w:t xml:space="preserve"> </w:t>
      </w:r>
      <w:r>
        <w:rPr>
          <w:sz w:val="16"/>
        </w:rPr>
        <w:t>If</w:t>
      </w:r>
      <w:r>
        <w:rPr>
          <w:spacing w:val="-1"/>
          <w:sz w:val="16"/>
        </w:rPr>
        <w:t xml:space="preserve"> </w:t>
      </w:r>
      <w:r>
        <w:rPr>
          <w:sz w:val="16"/>
        </w:rPr>
        <w:t>the proposed research in</w:t>
      </w:r>
      <w:r>
        <w:rPr>
          <w:spacing w:val="-2"/>
          <w:sz w:val="16"/>
        </w:rPr>
        <w:t xml:space="preserve"> </w:t>
      </w:r>
      <w:r>
        <w:rPr>
          <w:sz w:val="16"/>
        </w:rPr>
        <w:t>the application will generate large-scale</w:t>
      </w:r>
      <w:r>
        <w:rPr>
          <w:spacing w:val="-1"/>
          <w:sz w:val="16"/>
        </w:rPr>
        <w:t xml:space="preserve"> </w:t>
      </w:r>
      <w:r>
        <w:rPr>
          <w:sz w:val="16"/>
        </w:rPr>
        <w:t>genomic</w:t>
      </w:r>
      <w:r>
        <w:rPr>
          <w:spacing w:val="-2"/>
          <w:sz w:val="16"/>
        </w:rPr>
        <w:t xml:space="preserve"> </w:t>
      </w:r>
      <w:r>
        <w:rPr>
          <w:sz w:val="16"/>
        </w:rPr>
        <w:t>data,</w:t>
      </w:r>
      <w:r>
        <w:rPr>
          <w:spacing w:val="-2"/>
          <w:sz w:val="16"/>
        </w:rPr>
        <w:t xml:space="preserve"> </w:t>
      </w:r>
      <w:r>
        <w:rPr>
          <w:sz w:val="16"/>
        </w:rPr>
        <w:t>the</w:t>
      </w:r>
      <w:r>
        <w:rPr>
          <w:spacing w:val="-1"/>
          <w:sz w:val="16"/>
        </w:rPr>
        <w:t xml:space="preserve"> </w:t>
      </w:r>
      <w:r>
        <w:rPr>
          <w:sz w:val="16"/>
        </w:rPr>
        <w:t>Genomic</w:t>
      </w:r>
      <w:r>
        <w:rPr>
          <w:spacing w:val="-2"/>
          <w:sz w:val="16"/>
        </w:rPr>
        <w:t xml:space="preserve"> </w:t>
      </w:r>
      <w:r>
        <w:rPr>
          <w:sz w:val="16"/>
        </w:rPr>
        <w:t>Data</w:t>
      </w:r>
      <w:r>
        <w:rPr>
          <w:spacing w:val="-3"/>
          <w:sz w:val="16"/>
        </w:rPr>
        <w:t xml:space="preserve"> </w:t>
      </w:r>
      <w:r>
        <w:rPr>
          <w:sz w:val="16"/>
        </w:rPr>
        <w:t>Sharing</w:t>
      </w:r>
      <w:r>
        <w:rPr>
          <w:spacing w:val="-4"/>
          <w:sz w:val="16"/>
        </w:rPr>
        <w:t xml:space="preserve"> </w:t>
      </w:r>
      <w:r>
        <w:rPr>
          <w:sz w:val="16"/>
        </w:rPr>
        <w:t>Policy</w:t>
      </w:r>
      <w:r>
        <w:rPr>
          <w:spacing w:val="-2"/>
          <w:sz w:val="16"/>
        </w:rPr>
        <w:t xml:space="preserve"> </w:t>
      </w:r>
      <w:r>
        <w:rPr>
          <w:sz w:val="16"/>
        </w:rPr>
        <w:t>also</w:t>
      </w:r>
      <w:r>
        <w:rPr>
          <w:spacing w:val="-4"/>
          <w:sz w:val="16"/>
        </w:rPr>
        <w:t xml:space="preserve"> </w:t>
      </w:r>
      <w:r>
        <w:rPr>
          <w:sz w:val="16"/>
        </w:rPr>
        <w:t>applies and</w:t>
      </w:r>
      <w:r>
        <w:rPr>
          <w:spacing w:val="-4"/>
          <w:sz w:val="16"/>
        </w:rPr>
        <w:t xml:space="preserve"> </w:t>
      </w:r>
      <w:r>
        <w:rPr>
          <w:sz w:val="16"/>
        </w:rPr>
        <w:t>should</w:t>
      </w:r>
      <w:r>
        <w:rPr>
          <w:spacing w:val="-3"/>
          <w:sz w:val="16"/>
        </w:rPr>
        <w:t xml:space="preserve"> </w:t>
      </w:r>
      <w:r>
        <w:rPr>
          <w:sz w:val="16"/>
        </w:rPr>
        <w:t>be</w:t>
      </w:r>
      <w:r>
        <w:rPr>
          <w:spacing w:val="-1"/>
          <w:sz w:val="16"/>
        </w:rPr>
        <w:t xml:space="preserve"> </w:t>
      </w:r>
      <w:r>
        <w:rPr>
          <w:sz w:val="16"/>
        </w:rPr>
        <w:t>addressed</w:t>
      </w:r>
      <w:r>
        <w:rPr>
          <w:spacing w:val="-1"/>
          <w:sz w:val="16"/>
        </w:rPr>
        <w:t xml:space="preserve"> </w:t>
      </w:r>
      <w:r>
        <w:rPr>
          <w:sz w:val="16"/>
        </w:rPr>
        <w:t>in</w:t>
      </w:r>
      <w:r>
        <w:rPr>
          <w:spacing w:val="-3"/>
          <w:sz w:val="16"/>
        </w:rPr>
        <w:t xml:space="preserve"> </w:t>
      </w:r>
      <w:r>
        <w:rPr>
          <w:sz w:val="16"/>
        </w:rPr>
        <w:t>this</w:t>
      </w:r>
      <w:r>
        <w:rPr>
          <w:spacing w:val="-1"/>
          <w:sz w:val="16"/>
        </w:rPr>
        <w:t xml:space="preserve"> </w:t>
      </w:r>
      <w:r>
        <w:rPr>
          <w:sz w:val="16"/>
        </w:rPr>
        <w:t>Plan.</w:t>
      </w:r>
      <w:r>
        <w:rPr>
          <w:spacing w:val="40"/>
          <w:sz w:val="16"/>
        </w:rPr>
        <w:t xml:space="preserve"> </w:t>
      </w:r>
      <w:r>
        <w:rPr>
          <w:sz w:val="16"/>
        </w:rPr>
        <w:t>Refer</w:t>
      </w:r>
      <w:r>
        <w:rPr>
          <w:spacing w:val="-1"/>
          <w:sz w:val="16"/>
        </w:rPr>
        <w:t xml:space="preserve"> </w:t>
      </w:r>
      <w:r>
        <w:rPr>
          <w:sz w:val="16"/>
        </w:rPr>
        <w:t>to</w:t>
      </w:r>
      <w:r>
        <w:rPr>
          <w:spacing w:val="-4"/>
          <w:sz w:val="16"/>
        </w:rPr>
        <w:t xml:space="preserve"> </w:t>
      </w:r>
      <w:r>
        <w:rPr>
          <w:sz w:val="16"/>
        </w:rPr>
        <w:t>the</w:t>
      </w:r>
      <w:r>
        <w:rPr>
          <w:spacing w:val="-1"/>
          <w:sz w:val="16"/>
        </w:rPr>
        <w:t xml:space="preserve"> </w:t>
      </w:r>
      <w:r>
        <w:rPr>
          <w:sz w:val="16"/>
        </w:rPr>
        <w:t>detailed</w:t>
      </w:r>
      <w:r>
        <w:rPr>
          <w:spacing w:val="-3"/>
          <w:sz w:val="16"/>
        </w:rPr>
        <w:t xml:space="preserve"> </w:t>
      </w:r>
      <w:r>
        <w:rPr>
          <w:sz w:val="16"/>
        </w:rPr>
        <w:t>instructions in</w:t>
      </w:r>
      <w:r>
        <w:rPr>
          <w:spacing w:val="-3"/>
          <w:sz w:val="16"/>
        </w:rPr>
        <w:t xml:space="preserve"> </w:t>
      </w:r>
      <w:r>
        <w:rPr>
          <w:sz w:val="16"/>
        </w:rPr>
        <w:t xml:space="preserve">the application guide for developing this plan as well as to additional guidance on </w:t>
      </w:r>
      <w:hyperlink r:id="rId10">
        <w:r>
          <w:rPr>
            <w:color w:val="0000FF"/>
            <w:sz w:val="16"/>
            <w:u w:val="single" w:color="0000FF"/>
          </w:rPr>
          <w:t>sharing.nih.gov</w:t>
        </w:r>
        <w:r>
          <w:rPr>
            <w:sz w:val="16"/>
          </w:rPr>
          <w:t>.</w:t>
        </w:r>
      </w:hyperlink>
      <w:r>
        <w:rPr>
          <w:spacing w:val="40"/>
          <w:sz w:val="16"/>
        </w:rPr>
        <w:t xml:space="preserve"> </w:t>
      </w:r>
      <w:r>
        <w:rPr>
          <w:sz w:val="16"/>
        </w:rPr>
        <w:t>The Plan is recommended not to exceed two pages.</w:t>
      </w:r>
    </w:p>
    <w:p w14:paraId="2666C553" w14:textId="77777777" w:rsidR="00B935DB" w:rsidRDefault="002D5F84">
      <w:pPr>
        <w:spacing w:before="1"/>
        <w:ind w:left="140"/>
        <w:rPr>
          <w:i/>
          <w:sz w:val="16"/>
        </w:rPr>
      </w:pPr>
      <w:r>
        <w:rPr>
          <w:sz w:val="16"/>
        </w:rPr>
        <w:t>Text</w:t>
      </w:r>
      <w:r>
        <w:rPr>
          <w:spacing w:val="-4"/>
          <w:sz w:val="16"/>
        </w:rPr>
        <w:t xml:space="preserve"> </w:t>
      </w:r>
      <w:r>
        <w:rPr>
          <w:sz w:val="16"/>
        </w:rPr>
        <w:t>in</w:t>
      </w:r>
      <w:r>
        <w:rPr>
          <w:spacing w:val="-5"/>
          <w:sz w:val="16"/>
        </w:rPr>
        <w:t xml:space="preserve"> </w:t>
      </w:r>
      <w:r>
        <w:rPr>
          <w:sz w:val="16"/>
        </w:rPr>
        <w:t>italics</w:t>
      </w:r>
      <w:r>
        <w:rPr>
          <w:spacing w:val="-3"/>
          <w:sz w:val="16"/>
        </w:rPr>
        <w:t xml:space="preserve"> </w:t>
      </w:r>
      <w:r>
        <w:rPr>
          <w:sz w:val="16"/>
        </w:rPr>
        <w:t>should</w:t>
      </w:r>
      <w:r>
        <w:rPr>
          <w:spacing w:val="-3"/>
          <w:sz w:val="16"/>
        </w:rPr>
        <w:t xml:space="preserve"> </w:t>
      </w:r>
      <w:r>
        <w:rPr>
          <w:sz w:val="16"/>
        </w:rPr>
        <w:t>be</w:t>
      </w:r>
      <w:r>
        <w:rPr>
          <w:spacing w:val="-3"/>
          <w:sz w:val="16"/>
        </w:rPr>
        <w:t xml:space="preserve"> </w:t>
      </w:r>
      <w:r>
        <w:rPr>
          <w:sz w:val="16"/>
        </w:rPr>
        <w:t>deleted.</w:t>
      </w:r>
      <w:r>
        <w:rPr>
          <w:spacing w:val="37"/>
          <w:sz w:val="16"/>
        </w:rPr>
        <w:t xml:space="preserve"> </w:t>
      </w:r>
      <w:r>
        <w:rPr>
          <w:sz w:val="16"/>
        </w:rPr>
        <w:t>There</w:t>
      </w:r>
      <w:r>
        <w:rPr>
          <w:spacing w:val="-2"/>
          <w:sz w:val="16"/>
        </w:rPr>
        <w:t xml:space="preserve"> </w:t>
      </w:r>
      <w:r>
        <w:rPr>
          <w:sz w:val="16"/>
        </w:rPr>
        <w:t>is</w:t>
      </w:r>
      <w:r>
        <w:rPr>
          <w:spacing w:val="-3"/>
          <w:sz w:val="16"/>
        </w:rPr>
        <w:t xml:space="preserve"> </w:t>
      </w:r>
      <w:r>
        <w:rPr>
          <w:sz w:val="16"/>
        </w:rPr>
        <w:t>no</w:t>
      </w:r>
      <w:r>
        <w:rPr>
          <w:spacing w:val="-3"/>
          <w:sz w:val="16"/>
        </w:rPr>
        <w:t xml:space="preserve"> </w:t>
      </w:r>
      <w:r>
        <w:rPr>
          <w:sz w:val="16"/>
        </w:rPr>
        <w:t>“form</w:t>
      </w:r>
      <w:r>
        <w:rPr>
          <w:spacing w:val="-3"/>
          <w:sz w:val="16"/>
        </w:rPr>
        <w:t xml:space="preserve"> </w:t>
      </w:r>
      <w:r>
        <w:rPr>
          <w:sz w:val="16"/>
        </w:rPr>
        <w:t>page”</w:t>
      </w:r>
      <w:r>
        <w:rPr>
          <w:spacing w:val="-3"/>
          <w:sz w:val="16"/>
        </w:rPr>
        <w:t xml:space="preserve"> </w:t>
      </w:r>
      <w:r>
        <w:rPr>
          <w:sz w:val="16"/>
        </w:rPr>
        <w:t>for</w:t>
      </w:r>
      <w:r>
        <w:rPr>
          <w:spacing w:val="-5"/>
          <w:sz w:val="16"/>
        </w:rPr>
        <w:t xml:space="preserve"> </w:t>
      </w:r>
      <w:r>
        <w:rPr>
          <w:sz w:val="16"/>
        </w:rPr>
        <w:t>the</w:t>
      </w:r>
      <w:r>
        <w:rPr>
          <w:spacing w:val="-3"/>
          <w:sz w:val="16"/>
        </w:rPr>
        <w:t xml:space="preserve"> </w:t>
      </w:r>
      <w:r>
        <w:rPr>
          <w:sz w:val="16"/>
        </w:rPr>
        <w:t>Data</w:t>
      </w:r>
      <w:r>
        <w:rPr>
          <w:spacing w:val="-3"/>
          <w:sz w:val="16"/>
        </w:rPr>
        <w:t xml:space="preserve"> </w:t>
      </w:r>
      <w:r>
        <w:rPr>
          <w:sz w:val="16"/>
        </w:rPr>
        <w:t>Management</w:t>
      </w:r>
      <w:r>
        <w:rPr>
          <w:spacing w:val="-1"/>
          <w:sz w:val="16"/>
        </w:rPr>
        <w:t xml:space="preserve"> </w:t>
      </w:r>
      <w:r>
        <w:rPr>
          <w:sz w:val="16"/>
        </w:rPr>
        <w:t>and</w:t>
      </w:r>
      <w:r>
        <w:rPr>
          <w:spacing w:val="-5"/>
          <w:sz w:val="16"/>
        </w:rPr>
        <w:t xml:space="preserve"> </w:t>
      </w:r>
      <w:r>
        <w:rPr>
          <w:sz w:val="16"/>
        </w:rPr>
        <w:t>Sharing</w:t>
      </w:r>
      <w:r>
        <w:rPr>
          <w:spacing w:val="-5"/>
          <w:sz w:val="16"/>
        </w:rPr>
        <w:t xml:space="preserve"> </w:t>
      </w:r>
      <w:r>
        <w:rPr>
          <w:sz w:val="16"/>
        </w:rPr>
        <w:t>Plan.</w:t>
      </w:r>
      <w:r>
        <w:rPr>
          <w:spacing w:val="39"/>
          <w:sz w:val="16"/>
        </w:rPr>
        <w:t xml:space="preserve"> </w:t>
      </w:r>
      <w:r>
        <w:rPr>
          <w:sz w:val="16"/>
        </w:rPr>
        <w:t>The</w:t>
      </w:r>
      <w:r>
        <w:rPr>
          <w:spacing w:val="-5"/>
          <w:sz w:val="16"/>
        </w:rPr>
        <w:t xml:space="preserve"> </w:t>
      </w:r>
      <w:r>
        <w:rPr>
          <w:sz w:val="16"/>
        </w:rPr>
        <w:t>DMS</w:t>
      </w:r>
      <w:r>
        <w:rPr>
          <w:spacing w:val="-4"/>
          <w:sz w:val="16"/>
        </w:rPr>
        <w:t xml:space="preserve"> </w:t>
      </w:r>
      <w:r>
        <w:rPr>
          <w:sz w:val="16"/>
        </w:rPr>
        <w:t>Plan</w:t>
      </w:r>
      <w:r>
        <w:rPr>
          <w:spacing w:val="-2"/>
          <w:sz w:val="16"/>
        </w:rPr>
        <w:t xml:space="preserve"> </w:t>
      </w:r>
      <w:r>
        <w:rPr>
          <w:sz w:val="16"/>
        </w:rPr>
        <w:t>may</w:t>
      </w:r>
      <w:r>
        <w:rPr>
          <w:spacing w:val="-1"/>
          <w:sz w:val="16"/>
        </w:rPr>
        <w:t xml:space="preserve"> </w:t>
      </w:r>
      <w:r>
        <w:rPr>
          <w:sz w:val="16"/>
        </w:rPr>
        <w:t>be</w:t>
      </w:r>
      <w:r>
        <w:rPr>
          <w:spacing w:val="-6"/>
          <w:sz w:val="16"/>
        </w:rPr>
        <w:t xml:space="preserve"> </w:t>
      </w:r>
      <w:r>
        <w:rPr>
          <w:sz w:val="16"/>
        </w:rPr>
        <w:t>provided</w:t>
      </w:r>
      <w:r>
        <w:rPr>
          <w:spacing w:val="-4"/>
          <w:sz w:val="16"/>
        </w:rPr>
        <w:t xml:space="preserve"> </w:t>
      </w:r>
      <w:r>
        <w:rPr>
          <w:sz w:val="16"/>
        </w:rPr>
        <w:t>in</w:t>
      </w:r>
      <w:r>
        <w:rPr>
          <w:spacing w:val="-3"/>
          <w:sz w:val="16"/>
        </w:rPr>
        <w:t xml:space="preserve"> </w:t>
      </w:r>
      <w:r>
        <w:rPr>
          <w:sz w:val="16"/>
        </w:rPr>
        <w:t>the</w:t>
      </w:r>
      <w:r>
        <w:rPr>
          <w:spacing w:val="-2"/>
          <w:sz w:val="16"/>
        </w:rPr>
        <w:t xml:space="preserve"> </w:t>
      </w:r>
      <w:proofErr w:type="gramStart"/>
      <w:r>
        <w:rPr>
          <w:i/>
          <w:spacing w:val="-2"/>
          <w:sz w:val="16"/>
        </w:rPr>
        <w:t>format</w:t>
      </w:r>
      <w:proofErr w:type="gramEnd"/>
    </w:p>
    <w:p w14:paraId="43D85143" w14:textId="77777777" w:rsidR="00B935DB" w:rsidRDefault="002D5F84">
      <w:pPr>
        <w:spacing w:before="1"/>
        <w:ind w:left="140"/>
        <w:rPr>
          <w:sz w:val="16"/>
        </w:rPr>
      </w:pPr>
      <w:r>
        <w:rPr>
          <w:sz w:val="16"/>
        </w:rPr>
        <w:t>shown</w:t>
      </w:r>
      <w:r>
        <w:rPr>
          <w:spacing w:val="-3"/>
          <w:sz w:val="16"/>
        </w:rPr>
        <w:t xml:space="preserve"> </w:t>
      </w:r>
      <w:r>
        <w:rPr>
          <w:spacing w:val="-2"/>
          <w:sz w:val="16"/>
        </w:rPr>
        <w:t>below.</w:t>
      </w:r>
    </w:p>
    <w:p w14:paraId="5DAB6C7B" w14:textId="0AAD6848" w:rsidR="00B935DB" w:rsidRDefault="00F86E64">
      <w:pPr>
        <w:pStyle w:val="BodyText"/>
        <w:spacing w:before="6"/>
        <w:rPr>
          <w:i w:val="0"/>
          <w:sz w:val="8"/>
        </w:rPr>
      </w:pPr>
      <w:r>
        <w:rPr>
          <w:noProof/>
        </w:rPr>
        <mc:AlternateContent>
          <mc:Choice Requires="wps">
            <w:drawing>
              <wp:anchor distT="0" distB="0" distL="0" distR="0" simplePos="0" relativeHeight="487588352" behindDoc="1" locked="0" layoutInCell="1" allowOverlap="1" wp14:anchorId="674EA363" wp14:editId="30B0D378">
                <wp:simplePos x="0" y="0"/>
                <wp:positionH relativeFrom="page">
                  <wp:posOffset>438785</wp:posOffset>
                </wp:positionH>
                <wp:positionV relativeFrom="paragraph">
                  <wp:posOffset>78105</wp:posOffset>
                </wp:positionV>
                <wp:extent cx="6896100" cy="6350"/>
                <wp:effectExtent l="0" t="0" r="0" b="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61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021E5" id="docshape4" o:spid="_x0000_s1026" style="position:absolute;margin-left:34.55pt;margin-top:6.15pt;width:543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K685QEAALMDAAAOAAAAZHJzL2Uyb0RvYy54bWysU8Fu2zAMvQ/YPwi6L46zNGuNOEWRosOA&#10;bh3Q7QMYWbaFyaJGKXGyrx+lpGmw3Yb5IIii+PQe+by83Q9W7DQFg66W5WQqhXYKG+O6Wn7/9vDu&#10;W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" fillcolor="black" stroked="f">
                <w10:wrap type="topAndBottom" anchorx="page"/>
              </v:rect>
            </w:pict>
          </mc:Fallback>
        </mc:AlternateContent>
      </w:r>
    </w:p>
    <w:p w14:paraId="02EB378F" w14:textId="77777777" w:rsidR="00B935DB" w:rsidRDefault="00B935DB">
      <w:pPr>
        <w:pStyle w:val="BodyText"/>
        <w:spacing w:before="1"/>
        <w:rPr>
          <w:i w:val="0"/>
          <w:sz w:val="17"/>
        </w:rPr>
      </w:pPr>
    </w:p>
    <w:p w14:paraId="0063661C" w14:textId="77777777" w:rsidR="00B935DB" w:rsidRDefault="002D5F84">
      <w:pPr>
        <w:pStyle w:val="Heading1"/>
        <w:spacing w:before="94"/>
        <w:ind w:left="140" w:firstLine="0"/>
      </w:pPr>
      <w:r>
        <w:t>Element</w:t>
      </w:r>
      <w:r>
        <w:rPr>
          <w:spacing w:val="-5"/>
        </w:rPr>
        <w:t xml:space="preserve"> </w:t>
      </w:r>
      <w:r>
        <w:t>1:</w:t>
      </w:r>
      <w:r>
        <w:rPr>
          <w:spacing w:val="-4"/>
        </w:rPr>
        <w:t xml:space="preserve"> </w:t>
      </w:r>
      <w:r>
        <w:t>Data</w:t>
      </w:r>
      <w:r>
        <w:rPr>
          <w:spacing w:val="-6"/>
        </w:rPr>
        <w:t xml:space="preserve"> </w:t>
      </w:r>
      <w:r>
        <w:rPr>
          <w:spacing w:val="-4"/>
        </w:rPr>
        <w:t>Type</w:t>
      </w:r>
    </w:p>
    <w:p w14:paraId="0FD77051" w14:textId="77777777" w:rsidR="00B935DB" w:rsidRDefault="0F774398">
      <w:pPr>
        <w:pStyle w:val="ListParagraph"/>
        <w:numPr>
          <w:ilvl w:val="0"/>
          <w:numId w:val="3"/>
        </w:numPr>
        <w:tabs>
          <w:tab w:val="left" w:pos="861"/>
        </w:tabs>
        <w:rPr>
          <w:b/>
        </w:rPr>
      </w:pPr>
      <w:r w:rsidRPr="0F774398">
        <w:rPr>
          <w:b/>
          <w:bCs/>
        </w:rPr>
        <w:t>Types</w:t>
      </w:r>
      <w:r w:rsidRPr="0F774398">
        <w:rPr>
          <w:b/>
          <w:bCs/>
          <w:spacing w:val="-8"/>
        </w:rPr>
        <w:t xml:space="preserve"> </w:t>
      </w:r>
      <w:r w:rsidRPr="0F774398">
        <w:rPr>
          <w:b/>
          <w:bCs/>
        </w:rPr>
        <w:t>and</w:t>
      </w:r>
      <w:r w:rsidRPr="0F774398">
        <w:rPr>
          <w:b/>
          <w:bCs/>
          <w:spacing w:val="-3"/>
        </w:rPr>
        <w:t xml:space="preserve"> </w:t>
      </w:r>
      <w:r w:rsidRPr="0F774398">
        <w:rPr>
          <w:b/>
          <w:bCs/>
        </w:rPr>
        <w:t>amount</w:t>
      </w:r>
      <w:r w:rsidRPr="0F774398">
        <w:rPr>
          <w:b/>
          <w:bCs/>
          <w:spacing w:val="-4"/>
        </w:rPr>
        <w:t xml:space="preserve"> </w:t>
      </w:r>
      <w:r w:rsidRPr="0F774398">
        <w:rPr>
          <w:b/>
          <w:bCs/>
        </w:rPr>
        <w:t>of</w:t>
      </w:r>
      <w:r w:rsidRPr="0F774398">
        <w:rPr>
          <w:b/>
          <w:bCs/>
          <w:spacing w:val="-5"/>
        </w:rPr>
        <w:t xml:space="preserve"> </w:t>
      </w:r>
      <w:r w:rsidRPr="0F774398">
        <w:rPr>
          <w:b/>
          <w:bCs/>
        </w:rPr>
        <w:t>scientific</w:t>
      </w:r>
      <w:r w:rsidRPr="0F774398">
        <w:rPr>
          <w:b/>
          <w:bCs/>
          <w:spacing w:val="-3"/>
        </w:rPr>
        <w:t xml:space="preserve"> </w:t>
      </w:r>
      <w:r w:rsidRPr="0F774398">
        <w:rPr>
          <w:b/>
          <w:bCs/>
        </w:rPr>
        <w:t>data</w:t>
      </w:r>
      <w:r w:rsidRPr="0F774398">
        <w:rPr>
          <w:b/>
          <w:bCs/>
          <w:spacing w:val="-3"/>
        </w:rPr>
        <w:t xml:space="preserve"> </w:t>
      </w:r>
      <w:r w:rsidRPr="0F774398">
        <w:rPr>
          <w:b/>
          <w:bCs/>
        </w:rPr>
        <w:t>expected</w:t>
      </w:r>
      <w:r w:rsidRPr="0F774398">
        <w:rPr>
          <w:b/>
          <w:bCs/>
          <w:spacing w:val="-5"/>
        </w:rPr>
        <w:t xml:space="preserve"> </w:t>
      </w:r>
      <w:r w:rsidRPr="0F774398">
        <w:rPr>
          <w:b/>
          <w:bCs/>
        </w:rPr>
        <w:t>to</w:t>
      </w:r>
      <w:r w:rsidRPr="0F774398">
        <w:rPr>
          <w:b/>
          <w:bCs/>
          <w:spacing w:val="-4"/>
        </w:rPr>
        <w:t xml:space="preserve"> </w:t>
      </w:r>
      <w:r w:rsidRPr="0F774398">
        <w:rPr>
          <w:b/>
          <w:bCs/>
        </w:rPr>
        <w:t>be</w:t>
      </w:r>
      <w:r w:rsidRPr="0F774398">
        <w:rPr>
          <w:b/>
          <w:bCs/>
          <w:spacing w:val="-5"/>
        </w:rPr>
        <w:t xml:space="preserve"> </w:t>
      </w:r>
      <w:r w:rsidRPr="0F774398">
        <w:rPr>
          <w:b/>
          <w:bCs/>
        </w:rPr>
        <w:t>generated</w:t>
      </w:r>
      <w:r w:rsidRPr="0F774398">
        <w:rPr>
          <w:b/>
          <w:bCs/>
          <w:spacing w:val="-6"/>
        </w:rPr>
        <w:t xml:space="preserve"> </w:t>
      </w:r>
      <w:r w:rsidRPr="0F774398">
        <w:rPr>
          <w:b/>
          <w:bCs/>
        </w:rPr>
        <w:t>in</w:t>
      </w:r>
      <w:r w:rsidRPr="0F774398">
        <w:rPr>
          <w:b/>
          <w:bCs/>
          <w:spacing w:val="-5"/>
        </w:rPr>
        <w:t xml:space="preserve"> </w:t>
      </w:r>
      <w:r w:rsidRPr="0F774398">
        <w:rPr>
          <w:b/>
          <w:bCs/>
        </w:rPr>
        <w:t>the</w:t>
      </w:r>
      <w:r w:rsidRPr="0F774398">
        <w:rPr>
          <w:b/>
          <w:bCs/>
          <w:spacing w:val="-8"/>
        </w:rPr>
        <w:t xml:space="preserve"> </w:t>
      </w:r>
      <w:r w:rsidRPr="0F774398">
        <w:rPr>
          <w:b/>
          <w:bCs/>
          <w:spacing w:val="-2"/>
        </w:rPr>
        <w:t>project:</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460"/>
        <w:gridCol w:w="1230"/>
        <w:gridCol w:w="1605"/>
        <w:gridCol w:w="5700"/>
      </w:tblGrid>
      <w:tr w:rsidR="0F774398" w14:paraId="67652E53" w14:textId="77777777" w:rsidTr="78ABC0EF">
        <w:trPr>
          <w:trHeight w:val="255"/>
        </w:trPr>
        <w:tc>
          <w:tcPr>
            <w:tcW w:w="2460" w:type="dxa"/>
            <w:shd w:val="clear" w:color="auto" w:fill="BFBFBF" w:themeFill="background1" w:themeFillShade="BF"/>
            <w:tcMar>
              <w:left w:w="105" w:type="dxa"/>
              <w:right w:w="105" w:type="dxa"/>
            </w:tcMar>
          </w:tcPr>
          <w:p w14:paraId="3D6DE9F6" w14:textId="116710E1" w:rsidR="0F774398" w:rsidRDefault="0F774398" w:rsidP="0F774398">
            <w:pPr>
              <w:pStyle w:val="BodyText"/>
              <w:rPr>
                <w:color w:val="000000" w:themeColor="text1"/>
              </w:rPr>
            </w:pPr>
            <w:r w:rsidRPr="0F774398">
              <w:rPr>
                <w:i w:val="0"/>
                <w:iCs w:val="0"/>
                <w:color w:val="000000" w:themeColor="text1"/>
              </w:rPr>
              <w:t>Type</w:t>
            </w:r>
          </w:p>
        </w:tc>
        <w:tc>
          <w:tcPr>
            <w:tcW w:w="1230" w:type="dxa"/>
            <w:shd w:val="clear" w:color="auto" w:fill="BFBFBF" w:themeFill="background1" w:themeFillShade="BF"/>
            <w:tcMar>
              <w:left w:w="105" w:type="dxa"/>
              <w:right w:w="105" w:type="dxa"/>
            </w:tcMar>
          </w:tcPr>
          <w:p w14:paraId="04A2C3BB" w14:textId="021AFE4A" w:rsidR="0F774398" w:rsidRDefault="0F774398" w:rsidP="0F774398">
            <w:pPr>
              <w:pStyle w:val="BodyText"/>
              <w:rPr>
                <w:color w:val="000000" w:themeColor="text1"/>
              </w:rPr>
            </w:pPr>
            <w:r w:rsidRPr="0F774398">
              <w:rPr>
                <w:i w:val="0"/>
                <w:iCs w:val="0"/>
                <w:color w:val="000000" w:themeColor="text1"/>
              </w:rPr>
              <w:t>Species</w:t>
            </w:r>
          </w:p>
        </w:tc>
        <w:tc>
          <w:tcPr>
            <w:tcW w:w="1605" w:type="dxa"/>
            <w:shd w:val="clear" w:color="auto" w:fill="BFBFBF" w:themeFill="background1" w:themeFillShade="BF"/>
            <w:tcMar>
              <w:left w:w="105" w:type="dxa"/>
              <w:right w:w="105" w:type="dxa"/>
            </w:tcMar>
          </w:tcPr>
          <w:p w14:paraId="032B0A2A" w14:textId="789D7F4E" w:rsidR="0F774398" w:rsidRDefault="0F774398" w:rsidP="0F774398">
            <w:pPr>
              <w:pStyle w:val="BodyText"/>
              <w:rPr>
                <w:color w:val="000000" w:themeColor="text1"/>
              </w:rPr>
            </w:pPr>
            <w:r w:rsidRPr="0F774398">
              <w:rPr>
                <w:i w:val="0"/>
                <w:iCs w:val="0"/>
                <w:color w:val="000000" w:themeColor="text1"/>
              </w:rPr>
              <w:t>Platform/</w:t>
            </w:r>
          </w:p>
          <w:p w14:paraId="23AEAF4B" w14:textId="37D010CD" w:rsidR="0F774398" w:rsidRDefault="0F774398" w:rsidP="0F774398">
            <w:pPr>
              <w:pStyle w:val="BodyText"/>
              <w:rPr>
                <w:color w:val="000000" w:themeColor="text1"/>
              </w:rPr>
            </w:pPr>
            <w:r w:rsidRPr="0F774398">
              <w:rPr>
                <w:i w:val="0"/>
                <w:iCs w:val="0"/>
                <w:color w:val="000000" w:themeColor="text1"/>
              </w:rPr>
              <w:t>Source</w:t>
            </w:r>
          </w:p>
        </w:tc>
        <w:tc>
          <w:tcPr>
            <w:tcW w:w="5700" w:type="dxa"/>
            <w:shd w:val="clear" w:color="auto" w:fill="BFBFBF" w:themeFill="background1" w:themeFillShade="BF"/>
            <w:tcMar>
              <w:left w:w="105" w:type="dxa"/>
              <w:right w:w="105" w:type="dxa"/>
            </w:tcMar>
          </w:tcPr>
          <w:p w14:paraId="37AE3851" w14:textId="4241F066" w:rsidR="0F774398" w:rsidRDefault="0F774398" w:rsidP="0F774398">
            <w:pPr>
              <w:pStyle w:val="BodyText"/>
              <w:rPr>
                <w:color w:val="000000" w:themeColor="text1"/>
              </w:rPr>
            </w:pPr>
            <w:r w:rsidRPr="0F774398">
              <w:rPr>
                <w:i w:val="0"/>
                <w:iCs w:val="0"/>
                <w:color w:val="000000" w:themeColor="text1"/>
              </w:rPr>
              <w:t>Amount</w:t>
            </w:r>
          </w:p>
        </w:tc>
      </w:tr>
      <w:tr w:rsidR="0F774398" w14:paraId="09986756" w14:textId="77777777" w:rsidTr="78ABC0EF">
        <w:trPr>
          <w:trHeight w:val="540"/>
        </w:trPr>
        <w:tc>
          <w:tcPr>
            <w:tcW w:w="2460" w:type="dxa"/>
            <w:tcMar>
              <w:left w:w="105" w:type="dxa"/>
              <w:right w:w="105" w:type="dxa"/>
            </w:tcMar>
          </w:tcPr>
          <w:p w14:paraId="7C960C78" w14:textId="67DBB4F9" w:rsidR="64B55660" w:rsidRDefault="64B55660" w:rsidP="0F774398">
            <w:pPr>
              <w:pStyle w:val="BodyText"/>
            </w:pPr>
            <w:r w:rsidRPr="0F774398">
              <w:rPr>
                <w:i w:val="0"/>
                <w:iCs w:val="0"/>
                <w:color w:val="000000" w:themeColor="text1"/>
              </w:rPr>
              <w:t>HiFi long-read whole-genome sequencing data</w:t>
            </w:r>
          </w:p>
        </w:tc>
        <w:tc>
          <w:tcPr>
            <w:tcW w:w="1230" w:type="dxa"/>
            <w:tcMar>
              <w:left w:w="105" w:type="dxa"/>
              <w:right w:w="105" w:type="dxa"/>
            </w:tcMar>
          </w:tcPr>
          <w:p w14:paraId="6285FE9C" w14:textId="680A0142" w:rsidR="0F774398" w:rsidRDefault="0F774398" w:rsidP="0F774398">
            <w:pPr>
              <w:pStyle w:val="BodyText"/>
              <w:rPr>
                <w:color w:val="000000" w:themeColor="text1"/>
              </w:rPr>
            </w:pPr>
            <w:r w:rsidRPr="0F774398">
              <w:rPr>
                <w:i w:val="0"/>
                <w:iCs w:val="0"/>
                <w:color w:val="000000" w:themeColor="text1"/>
              </w:rPr>
              <w:t>Human</w:t>
            </w:r>
          </w:p>
        </w:tc>
        <w:tc>
          <w:tcPr>
            <w:tcW w:w="1605" w:type="dxa"/>
            <w:tcMar>
              <w:left w:w="105" w:type="dxa"/>
              <w:right w:w="105" w:type="dxa"/>
            </w:tcMar>
          </w:tcPr>
          <w:p w14:paraId="4A05833B" w14:textId="57A2E720" w:rsidR="5C53CC47" w:rsidRDefault="5C53CC47" w:rsidP="7286F042">
            <w:pPr>
              <w:pStyle w:val="BodyText"/>
              <w:rPr>
                <w:i w:val="0"/>
                <w:iCs w:val="0"/>
                <w:color w:val="000000" w:themeColor="text1"/>
              </w:rPr>
            </w:pPr>
            <w:r w:rsidRPr="7286F042">
              <w:rPr>
                <w:i w:val="0"/>
                <w:iCs w:val="0"/>
                <w:color w:val="000000" w:themeColor="text1"/>
              </w:rPr>
              <w:t xml:space="preserve">PacBio/HeLa Cell Line, obtained from </w:t>
            </w:r>
            <w:proofErr w:type="gramStart"/>
            <w:r w:rsidRPr="7286F042">
              <w:rPr>
                <w:i w:val="0"/>
                <w:iCs w:val="0"/>
                <w:color w:val="000000" w:themeColor="text1"/>
              </w:rPr>
              <w:t>ATCC</w:t>
            </w:r>
            <w:proofErr w:type="gramEnd"/>
          </w:p>
          <w:p w14:paraId="4E9A22B4" w14:textId="69D2E053" w:rsidR="0F774398" w:rsidRDefault="0F774398" w:rsidP="0F774398">
            <w:pPr>
              <w:pStyle w:val="BodyText"/>
              <w:rPr>
                <w:i w:val="0"/>
                <w:iCs w:val="0"/>
                <w:color w:val="000000" w:themeColor="text1"/>
              </w:rPr>
            </w:pPr>
          </w:p>
        </w:tc>
        <w:tc>
          <w:tcPr>
            <w:tcW w:w="5700" w:type="dxa"/>
            <w:tcMar>
              <w:left w:w="105" w:type="dxa"/>
              <w:right w:w="105" w:type="dxa"/>
            </w:tcMar>
          </w:tcPr>
          <w:p w14:paraId="0440D36A" w14:textId="4CB920B5" w:rsidR="0F774398" w:rsidRDefault="1A265837" w:rsidP="78ABC0EF">
            <w:pPr>
              <w:pStyle w:val="BodyText"/>
              <w:rPr>
                <w:i w:val="0"/>
                <w:iCs w:val="0"/>
                <w:color w:val="000000" w:themeColor="text1"/>
              </w:rPr>
            </w:pPr>
            <w:r w:rsidRPr="78ABC0EF">
              <w:rPr>
                <w:i w:val="0"/>
                <w:iCs w:val="0"/>
                <w:color w:val="000000" w:themeColor="text1"/>
              </w:rPr>
              <w:t>O</w:t>
            </w:r>
            <w:r w:rsidR="73D6B0B8" w:rsidRPr="78ABC0EF">
              <w:rPr>
                <w:i w:val="0"/>
                <w:iCs w:val="0"/>
                <w:color w:val="000000" w:themeColor="text1"/>
              </w:rPr>
              <w:t>ne cell line</w:t>
            </w:r>
            <w:r w:rsidR="202D9641" w:rsidRPr="78ABC0EF">
              <w:rPr>
                <w:i w:val="0"/>
                <w:iCs w:val="0"/>
                <w:color w:val="000000" w:themeColor="text1"/>
              </w:rPr>
              <w:t>,</w:t>
            </w:r>
            <w:r w:rsidR="73D6B0B8" w:rsidRPr="78ABC0EF">
              <w:rPr>
                <w:i w:val="0"/>
                <w:iCs w:val="0"/>
                <w:color w:val="000000" w:themeColor="text1"/>
              </w:rPr>
              <w:t xml:space="preserve"> 700 MB</w:t>
            </w:r>
          </w:p>
        </w:tc>
      </w:tr>
    </w:tbl>
    <w:p w14:paraId="5A39BBE3" w14:textId="60B12978" w:rsidR="00B935DB" w:rsidRDefault="00B935DB" w:rsidP="7286F042">
      <w:pPr>
        <w:pStyle w:val="BodyText"/>
        <w:spacing w:before="1"/>
        <w:ind w:left="860"/>
      </w:pPr>
    </w:p>
    <w:p w14:paraId="7035AFC7" w14:textId="77777777" w:rsidR="00B935DB" w:rsidRDefault="7286F042">
      <w:pPr>
        <w:pStyle w:val="Heading1"/>
        <w:numPr>
          <w:ilvl w:val="0"/>
          <w:numId w:val="3"/>
        </w:numPr>
        <w:tabs>
          <w:tab w:val="left" w:pos="861"/>
        </w:tabs>
      </w:pPr>
      <w:r>
        <w:t>Scientific</w:t>
      </w:r>
      <w:r>
        <w:rPr>
          <w:spacing w:val="-6"/>
        </w:rPr>
        <w:t xml:space="preserve"> </w:t>
      </w:r>
      <w:r>
        <w:t>data</w:t>
      </w:r>
      <w:r>
        <w:rPr>
          <w:spacing w:val="-5"/>
        </w:rPr>
        <w:t xml:space="preserve"> </w:t>
      </w:r>
      <w:r>
        <w:t>that</w:t>
      </w:r>
      <w:r>
        <w:rPr>
          <w:spacing w:val="-5"/>
        </w:rPr>
        <w:t xml:space="preserve"> </w:t>
      </w:r>
      <w:r>
        <w:t>will</w:t>
      </w:r>
      <w:r>
        <w:rPr>
          <w:spacing w:val="-5"/>
        </w:rPr>
        <w:t xml:space="preserve"> </w:t>
      </w:r>
      <w:r>
        <w:t>be</w:t>
      </w:r>
      <w:r>
        <w:rPr>
          <w:spacing w:val="-4"/>
        </w:rPr>
        <w:t xml:space="preserve"> </w:t>
      </w:r>
      <w:r>
        <w:t>preserved</w:t>
      </w:r>
      <w:r>
        <w:rPr>
          <w:spacing w:val="-6"/>
        </w:rPr>
        <w:t xml:space="preserve"> </w:t>
      </w:r>
      <w:r>
        <w:t>and</w:t>
      </w:r>
      <w:r>
        <w:rPr>
          <w:spacing w:val="-4"/>
        </w:rPr>
        <w:t xml:space="preserve"> </w:t>
      </w:r>
      <w:r>
        <w:t>shared,</w:t>
      </w:r>
      <w:r>
        <w:rPr>
          <w:spacing w:val="-2"/>
        </w:rPr>
        <w:t xml:space="preserve"> </w:t>
      </w:r>
      <w:r>
        <w:t>and</w:t>
      </w:r>
      <w:r>
        <w:rPr>
          <w:spacing w:val="-4"/>
        </w:rPr>
        <w:t xml:space="preserve"> </w:t>
      </w:r>
      <w:r>
        <w:t>the</w:t>
      </w:r>
      <w:r>
        <w:rPr>
          <w:spacing w:val="-6"/>
        </w:rPr>
        <w:t xml:space="preserve"> </w:t>
      </w:r>
      <w:r>
        <w:t>rationale</w:t>
      </w:r>
      <w:r>
        <w:rPr>
          <w:spacing w:val="-6"/>
        </w:rPr>
        <w:t xml:space="preserve"> </w:t>
      </w:r>
      <w:r>
        <w:t>for</w:t>
      </w:r>
      <w:r>
        <w:rPr>
          <w:spacing w:val="-1"/>
        </w:rPr>
        <w:t xml:space="preserve"> </w:t>
      </w:r>
      <w:r>
        <w:t>doing</w:t>
      </w:r>
      <w:r>
        <w:rPr>
          <w:spacing w:val="-6"/>
        </w:rPr>
        <w:t xml:space="preserve"> </w:t>
      </w:r>
      <w:r>
        <w:rPr>
          <w:spacing w:val="-5"/>
        </w:rPr>
        <w:t>so:</w:t>
      </w:r>
    </w:p>
    <w:p w14:paraId="72A3D3EC" w14:textId="1C9ACC03" w:rsidR="00B935DB" w:rsidRDefault="00C116D9" w:rsidP="00BB1ACA">
      <w:pPr>
        <w:pStyle w:val="BodyText"/>
        <w:rPr>
          <w:i w:val="0"/>
          <w:iCs w:val="0"/>
          <w:sz w:val="24"/>
          <w:szCs w:val="24"/>
        </w:rPr>
      </w:pPr>
      <w:r w:rsidRPr="7286F042">
        <w:rPr>
          <w:i w:val="0"/>
          <w:iCs w:val="0"/>
          <w:sz w:val="24"/>
          <w:szCs w:val="24"/>
        </w:rPr>
        <w:t>All</w:t>
      </w:r>
      <w:r w:rsidR="12E2E7FD" w:rsidRPr="7286F042">
        <w:rPr>
          <w:i w:val="0"/>
          <w:iCs w:val="0"/>
          <w:sz w:val="24"/>
          <w:szCs w:val="24"/>
        </w:rPr>
        <w:t xml:space="preserve"> the scientific data (and accompanying metadata described </w:t>
      </w:r>
      <w:r w:rsidR="00E763C8">
        <w:rPr>
          <w:i w:val="0"/>
          <w:iCs w:val="0"/>
          <w:sz w:val="24"/>
          <w:szCs w:val="24"/>
        </w:rPr>
        <w:t>in 1.C.</w:t>
      </w:r>
      <w:r w:rsidR="12E2E7FD" w:rsidRPr="7286F042">
        <w:rPr>
          <w:i w:val="0"/>
          <w:iCs w:val="0"/>
          <w:sz w:val="24"/>
          <w:szCs w:val="24"/>
        </w:rPr>
        <w:t xml:space="preserve">) will be preserved and shared. These data will </w:t>
      </w:r>
      <w:r w:rsidR="543E02CB" w:rsidRPr="7286F042">
        <w:rPr>
          <w:i w:val="0"/>
          <w:iCs w:val="0"/>
          <w:sz w:val="24"/>
          <w:szCs w:val="24"/>
        </w:rPr>
        <w:t>complement</w:t>
      </w:r>
      <w:r w:rsidR="12E2E7FD" w:rsidRPr="7286F042">
        <w:rPr>
          <w:i w:val="0"/>
          <w:iCs w:val="0"/>
          <w:sz w:val="24"/>
          <w:szCs w:val="24"/>
        </w:rPr>
        <w:t xml:space="preserve"> existing whole-genome data that are available from the HeLa cell line</w:t>
      </w:r>
      <w:r w:rsidR="00CD55E0">
        <w:rPr>
          <w:i w:val="0"/>
          <w:iCs w:val="0"/>
          <w:sz w:val="24"/>
          <w:szCs w:val="24"/>
        </w:rPr>
        <w:t xml:space="preserve"> maintained</w:t>
      </w:r>
      <w:r w:rsidR="00B94F94">
        <w:rPr>
          <w:i w:val="0"/>
          <w:iCs w:val="0"/>
          <w:sz w:val="24"/>
          <w:szCs w:val="24"/>
        </w:rPr>
        <w:t xml:space="preserve"> in</w:t>
      </w:r>
      <w:r w:rsidR="00770BA8">
        <w:rPr>
          <w:i w:val="0"/>
          <w:iCs w:val="0"/>
          <w:sz w:val="24"/>
          <w:szCs w:val="24"/>
        </w:rPr>
        <w:t xml:space="preserve"> </w:t>
      </w:r>
      <w:r w:rsidR="00CD55E0">
        <w:rPr>
          <w:i w:val="0"/>
          <w:iCs w:val="0"/>
          <w:sz w:val="24"/>
          <w:szCs w:val="24"/>
        </w:rPr>
        <w:t>dbGaP</w:t>
      </w:r>
      <w:r w:rsidR="12E2E7FD" w:rsidRPr="7286F042">
        <w:rPr>
          <w:i w:val="0"/>
          <w:iCs w:val="0"/>
          <w:sz w:val="24"/>
          <w:szCs w:val="24"/>
        </w:rPr>
        <w:t xml:space="preserve">. </w:t>
      </w:r>
    </w:p>
    <w:p w14:paraId="2B02A041" w14:textId="77777777" w:rsidR="00890D87" w:rsidRDefault="00890D87" w:rsidP="00BB1ACA">
      <w:pPr>
        <w:pStyle w:val="BodyText"/>
        <w:rPr>
          <w:i w:val="0"/>
          <w:iCs w:val="0"/>
          <w:sz w:val="24"/>
          <w:szCs w:val="24"/>
        </w:rPr>
      </w:pPr>
    </w:p>
    <w:p w14:paraId="680CAC19" w14:textId="4A281335" w:rsidR="00B935DB" w:rsidRPr="008D73D3" w:rsidRDefault="7286F042" w:rsidP="00890D87">
      <w:pPr>
        <w:pStyle w:val="BodyText"/>
        <w:rPr>
          <w:sz w:val="24"/>
          <w:szCs w:val="24"/>
        </w:rPr>
      </w:pPr>
      <w:r w:rsidRPr="008D73D3">
        <w:rPr>
          <w:sz w:val="24"/>
          <w:szCs w:val="24"/>
        </w:rPr>
        <w:t>Metadata,</w:t>
      </w:r>
      <w:r w:rsidRPr="008D73D3">
        <w:rPr>
          <w:spacing w:val="-10"/>
          <w:sz w:val="24"/>
          <w:szCs w:val="24"/>
        </w:rPr>
        <w:t xml:space="preserve"> </w:t>
      </w:r>
      <w:r w:rsidRPr="008D73D3">
        <w:rPr>
          <w:sz w:val="24"/>
          <w:szCs w:val="24"/>
        </w:rPr>
        <w:t>other</w:t>
      </w:r>
      <w:r w:rsidRPr="008D73D3">
        <w:rPr>
          <w:spacing w:val="-5"/>
          <w:sz w:val="24"/>
          <w:szCs w:val="24"/>
        </w:rPr>
        <w:t xml:space="preserve"> </w:t>
      </w:r>
      <w:r w:rsidRPr="008D73D3">
        <w:rPr>
          <w:sz w:val="24"/>
          <w:szCs w:val="24"/>
        </w:rPr>
        <w:t>relevant</w:t>
      </w:r>
      <w:r w:rsidRPr="008D73D3">
        <w:rPr>
          <w:spacing w:val="-6"/>
          <w:sz w:val="24"/>
          <w:szCs w:val="24"/>
        </w:rPr>
        <w:t xml:space="preserve"> </w:t>
      </w:r>
      <w:r w:rsidRPr="008D73D3">
        <w:rPr>
          <w:sz w:val="24"/>
          <w:szCs w:val="24"/>
        </w:rPr>
        <w:t>data,</w:t>
      </w:r>
      <w:r w:rsidRPr="008D73D3">
        <w:rPr>
          <w:spacing w:val="-7"/>
          <w:sz w:val="24"/>
          <w:szCs w:val="24"/>
        </w:rPr>
        <w:t xml:space="preserve"> </w:t>
      </w:r>
      <w:r w:rsidRPr="008D73D3">
        <w:rPr>
          <w:sz w:val="24"/>
          <w:szCs w:val="24"/>
        </w:rPr>
        <w:t>and</w:t>
      </w:r>
      <w:r w:rsidRPr="008D73D3">
        <w:rPr>
          <w:spacing w:val="-6"/>
          <w:sz w:val="24"/>
          <w:szCs w:val="24"/>
        </w:rPr>
        <w:t xml:space="preserve"> </w:t>
      </w:r>
      <w:r w:rsidRPr="008D73D3">
        <w:rPr>
          <w:sz w:val="24"/>
          <w:szCs w:val="24"/>
        </w:rPr>
        <w:t>associated</w:t>
      </w:r>
      <w:r w:rsidRPr="008D73D3">
        <w:rPr>
          <w:spacing w:val="-8"/>
          <w:sz w:val="24"/>
          <w:szCs w:val="24"/>
        </w:rPr>
        <w:t xml:space="preserve"> </w:t>
      </w:r>
      <w:r w:rsidRPr="008D73D3">
        <w:rPr>
          <w:spacing w:val="-2"/>
          <w:sz w:val="24"/>
          <w:szCs w:val="24"/>
        </w:rPr>
        <w:t>documentation:</w:t>
      </w:r>
    </w:p>
    <w:p w14:paraId="72120BB3" w14:textId="223B0A1B" w:rsidR="684430BC" w:rsidRDefault="684430BC" w:rsidP="78ABC0EF">
      <w:pPr>
        <w:pStyle w:val="BodyText"/>
        <w:rPr>
          <w:i w:val="0"/>
          <w:iCs w:val="0"/>
          <w:sz w:val="24"/>
          <w:szCs w:val="24"/>
        </w:rPr>
      </w:pPr>
      <w:r w:rsidRPr="78ABC0EF">
        <w:rPr>
          <w:i w:val="0"/>
          <w:iCs w:val="0"/>
          <w:sz w:val="24"/>
          <w:szCs w:val="24"/>
        </w:rPr>
        <w:t>Metadata</w:t>
      </w:r>
      <w:r w:rsidR="35B48EAB" w:rsidRPr="78ABC0EF">
        <w:rPr>
          <w:i w:val="0"/>
          <w:iCs w:val="0"/>
          <w:sz w:val="24"/>
          <w:szCs w:val="24"/>
        </w:rPr>
        <w:t>:</w:t>
      </w:r>
      <w:r w:rsidRPr="78ABC0EF">
        <w:rPr>
          <w:i w:val="0"/>
          <w:iCs w:val="0"/>
          <w:sz w:val="24"/>
          <w:szCs w:val="24"/>
        </w:rPr>
        <w:t xml:space="preserve"> QC Metrics, </w:t>
      </w:r>
      <w:r w:rsidR="327CEDE9" w:rsidRPr="78ABC0EF">
        <w:rPr>
          <w:i w:val="0"/>
          <w:iCs w:val="0"/>
          <w:sz w:val="24"/>
          <w:szCs w:val="24"/>
        </w:rPr>
        <w:t>relevant metadata pertaining to the sample</w:t>
      </w:r>
      <w:r w:rsidR="002D5F84">
        <w:rPr>
          <w:i w:val="0"/>
          <w:iCs w:val="0"/>
          <w:sz w:val="24"/>
          <w:szCs w:val="24"/>
        </w:rPr>
        <w:t xml:space="preserve"> (obtained from ATCC)</w:t>
      </w:r>
      <w:r w:rsidRPr="78ABC0EF">
        <w:rPr>
          <w:i w:val="0"/>
          <w:iCs w:val="0"/>
          <w:sz w:val="24"/>
          <w:szCs w:val="24"/>
        </w:rPr>
        <w:t>, and</w:t>
      </w:r>
      <w:r w:rsidR="73AB1D82" w:rsidRPr="78ABC0EF">
        <w:rPr>
          <w:i w:val="0"/>
          <w:iCs w:val="0"/>
          <w:sz w:val="24"/>
          <w:szCs w:val="24"/>
        </w:rPr>
        <w:t xml:space="preserve"> </w:t>
      </w:r>
      <w:r w:rsidR="53AF9EA5" w:rsidRPr="78ABC0EF">
        <w:rPr>
          <w:i w:val="0"/>
          <w:iCs w:val="0"/>
          <w:sz w:val="24"/>
          <w:szCs w:val="24"/>
        </w:rPr>
        <w:t>other metadata required for dbGaP deposition</w:t>
      </w:r>
      <w:r w:rsidR="5433CB07" w:rsidRPr="78ABC0EF">
        <w:rPr>
          <w:i w:val="0"/>
          <w:iCs w:val="0"/>
          <w:sz w:val="24"/>
          <w:szCs w:val="24"/>
        </w:rPr>
        <w:t>.</w:t>
      </w:r>
    </w:p>
    <w:p w14:paraId="4DFF6927" w14:textId="77777777" w:rsidR="00890D87" w:rsidRDefault="00890D87" w:rsidP="78ABC0EF">
      <w:pPr>
        <w:pStyle w:val="BodyText"/>
        <w:rPr>
          <w:i w:val="0"/>
          <w:iCs w:val="0"/>
          <w:sz w:val="24"/>
          <w:szCs w:val="24"/>
        </w:rPr>
      </w:pPr>
    </w:p>
    <w:p w14:paraId="1BA3D5B4" w14:textId="72AE10B7" w:rsidR="5433CB07" w:rsidRDefault="5433CB07" w:rsidP="78ABC0EF">
      <w:pPr>
        <w:pStyle w:val="BodyText"/>
        <w:rPr>
          <w:i w:val="0"/>
          <w:iCs w:val="0"/>
          <w:sz w:val="24"/>
          <w:szCs w:val="24"/>
        </w:rPr>
      </w:pPr>
      <w:r w:rsidRPr="78ABC0EF">
        <w:rPr>
          <w:i w:val="0"/>
          <w:iCs w:val="0"/>
          <w:sz w:val="24"/>
          <w:szCs w:val="24"/>
        </w:rPr>
        <w:t>Associated Documentation:</w:t>
      </w:r>
      <w:r w:rsidR="20B7E2D8" w:rsidRPr="78ABC0EF">
        <w:rPr>
          <w:i w:val="0"/>
          <w:iCs w:val="0"/>
          <w:sz w:val="24"/>
          <w:szCs w:val="24"/>
        </w:rPr>
        <w:t xml:space="preserve"> Study methods and </w:t>
      </w:r>
      <w:r w:rsidR="002D5F84" w:rsidRPr="78ABC0EF">
        <w:rPr>
          <w:i w:val="0"/>
          <w:iCs w:val="0"/>
          <w:sz w:val="24"/>
          <w:szCs w:val="24"/>
        </w:rPr>
        <w:t>protocols.</w:t>
      </w:r>
    </w:p>
    <w:p w14:paraId="166635CC" w14:textId="77777777" w:rsidR="00B935DB" w:rsidRDefault="78ABC0EF">
      <w:pPr>
        <w:pStyle w:val="Heading1"/>
        <w:spacing w:before="206" w:line="240" w:lineRule="auto"/>
        <w:ind w:left="140" w:firstLine="0"/>
      </w:pPr>
      <w:r>
        <w:t>Element</w:t>
      </w:r>
      <w:r>
        <w:rPr>
          <w:spacing w:val="-6"/>
        </w:rPr>
        <w:t xml:space="preserve"> </w:t>
      </w:r>
      <w:r>
        <w:t>2:</w:t>
      </w:r>
      <w:r>
        <w:rPr>
          <w:spacing w:val="-5"/>
        </w:rPr>
        <w:t xml:space="preserve"> </w:t>
      </w:r>
      <w:r>
        <w:t>Related</w:t>
      </w:r>
      <w:r>
        <w:rPr>
          <w:spacing w:val="-7"/>
        </w:rPr>
        <w:t xml:space="preserve"> </w:t>
      </w:r>
      <w:r>
        <w:t>Tools,</w:t>
      </w:r>
      <w:r>
        <w:rPr>
          <w:spacing w:val="-5"/>
        </w:rPr>
        <w:t xml:space="preserve"> </w:t>
      </w:r>
      <w:r>
        <w:t>Software</w:t>
      </w:r>
      <w:r>
        <w:rPr>
          <w:spacing w:val="-7"/>
        </w:rPr>
        <w:t xml:space="preserve"> </w:t>
      </w:r>
      <w:r>
        <w:t>and/or</w:t>
      </w:r>
      <w:r>
        <w:rPr>
          <w:spacing w:val="-3"/>
        </w:rPr>
        <w:t xml:space="preserve"> </w:t>
      </w:r>
      <w:r>
        <w:rPr>
          <w:spacing w:val="-4"/>
        </w:rPr>
        <w:t>Code:</w:t>
      </w:r>
    </w:p>
    <w:p w14:paraId="44EAFD9C" w14:textId="36514180" w:rsidR="00B935DB" w:rsidRDefault="4E329D07" w:rsidP="78ABC0EF">
      <w:pPr>
        <w:pStyle w:val="BodyText"/>
        <w:rPr>
          <w:i w:val="0"/>
          <w:iCs w:val="0"/>
          <w:sz w:val="24"/>
          <w:szCs w:val="24"/>
        </w:rPr>
      </w:pPr>
      <w:r w:rsidRPr="78ABC0EF">
        <w:rPr>
          <w:i w:val="0"/>
          <w:iCs w:val="0"/>
          <w:sz w:val="24"/>
          <w:szCs w:val="24"/>
        </w:rPr>
        <w:t>We are not generating any new tools, software and/or code for processing or analyzing these HiFi WGS data</w:t>
      </w:r>
      <w:r w:rsidR="515ECBAC" w:rsidRPr="78ABC0EF">
        <w:rPr>
          <w:i w:val="0"/>
          <w:iCs w:val="0"/>
          <w:sz w:val="24"/>
          <w:szCs w:val="24"/>
        </w:rPr>
        <w:t xml:space="preserve"> (i.e., FASTQ files)</w:t>
      </w:r>
      <w:r w:rsidRPr="78ABC0EF">
        <w:rPr>
          <w:i w:val="0"/>
          <w:iCs w:val="0"/>
          <w:sz w:val="24"/>
          <w:szCs w:val="24"/>
        </w:rPr>
        <w:t xml:space="preserve">; we will make use of open-source tools that are freely available to the scientific community. </w:t>
      </w:r>
    </w:p>
    <w:p w14:paraId="5F8012FC" w14:textId="77777777" w:rsidR="00B935DB" w:rsidRDefault="78ABC0EF">
      <w:pPr>
        <w:pStyle w:val="Heading1"/>
        <w:spacing w:before="206" w:line="240" w:lineRule="auto"/>
        <w:ind w:left="140" w:firstLine="0"/>
      </w:pPr>
      <w:r>
        <w:t>Element</w:t>
      </w:r>
      <w:r>
        <w:rPr>
          <w:spacing w:val="-4"/>
        </w:rPr>
        <w:t xml:space="preserve"> </w:t>
      </w:r>
      <w:r>
        <w:t>3:</w:t>
      </w:r>
      <w:r>
        <w:rPr>
          <w:spacing w:val="-3"/>
        </w:rPr>
        <w:t xml:space="preserve"> </w:t>
      </w:r>
      <w:r>
        <w:rPr>
          <w:spacing w:val="-2"/>
        </w:rPr>
        <w:t>Standards:</w:t>
      </w:r>
    </w:p>
    <w:tbl>
      <w:tblPr>
        <w:tblStyle w:val="TableGrid"/>
        <w:tblW w:w="0" w:type="auto"/>
        <w:tblInd w:w="10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80"/>
        <w:gridCol w:w="7200"/>
      </w:tblGrid>
      <w:tr w:rsidR="78ABC0EF" w14:paraId="241E2B4E" w14:textId="77777777" w:rsidTr="78ABC0EF">
        <w:trPr>
          <w:trHeight w:val="300"/>
        </w:trPr>
        <w:tc>
          <w:tcPr>
            <w:tcW w:w="3780" w:type="dxa"/>
            <w:shd w:val="clear" w:color="auto" w:fill="BFBFBF" w:themeFill="background1" w:themeFillShade="BF"/>
            <w:tcMar>
              <w:left w:w="105" w:type="dxa"/>
              <w:right w:w="105" w:type="dxa"/>
            </w:tcMar>
          </w:tcPr>
          <w:p w14:paraId="43C9612B" w14:textId="2D0E3427" w:rsidR="78ABC0EF" w:rsidRDefault="78ABC0EF" w:rsidP="78ABC0EF">
            <w:pPr>
              <w:pStyle w:val="BodyText"/>
              <w:rPr>
                <w:color w:val="000000" w:themeColor="text1"/>
              </w:rPr>
            </w:pPr>
            <w:r w:rsidRPr="78ABC0EF">
              <w:rPr>
                <w:i w:val="0"/>
                <w:iCs w:val="0"/>
                <w:color w:val="000000" w:themeColor="text1"/>
              </w:rPr>
              <w:t>Data Type</w:t>
            </w:r>
          </w:p>
        </w:tc>
        <w:tc>
          <w:tcPr>
            <w:tcW w:w="7200" w:type="dxa"/>
            <w:shd w:val="clear" w:color="auto" w:fill="BFBFBF" w:themeFill="background1" w:themeFillShade="BF"/>
            <w:tcMar>
              <w:left w:w="105" w:type="dxa"/>
              <w:right w:w="105" w:type="dxa"/>
            </w:tcMar>
          </w:tcPr>
          <w:p w14:paraId="6CC7B33E" w14:textId="1995C66D" w:rsidR="78ABC0EF" w:rsidRDefault="78ABC0EF" w:rsidP="78ABC0EF">
            <w:pPr>
              <w:pStyle w:val="BodyText"/>
              <w:rPr>
                <w:color w:val="000000" w:themeColor="text1"/>
              </w:rPr>
            </w:pPr>
            <w:r w:rsidRPr="78ABC0EF">
              <w:rPr>
                <w:i w:val="0"/>
                <w:iCs w:val="0"/>
                <w:color w:val="000000" w:themeColor="text1"/>
              </w:rPr>
              <w:t>Standard</w:t>
            </w:r>
          </w:p>
        </w:tc>
      </w:tr>
      <w:tr w:rsidR="78ABC0EF" w14:paraId="59B56BD4" w14:textId="77777777" w:rsidTr="78ABC0EF">
        <w:trPr>
          <w:trHeight w:val="300"/>
        </w:trPr>
        <w:tc>
          <w:tcPr>
            <w:tcW w:w="3780" w:type="dxa"/>
            <w:tcMar>
              <w:left w:w="105" w:type="dxa"/>
              <w:right w:w="105" w:type="dxa"/>
            </w:tcMar>
          </w:tcPr>
          <w:p w14:paraId="2B43EDC6" w14:textId="5A9496D2" w:rsidR="4C03C10D" w:rsidRDefault="4C03C10D" w:rsidP="78ABC0EF">
            <w:pPr>
              <w:pStyle w:val="BodyText"/>
            </w:pPr>
            <w:r w:rsidRPr="78ABC0EF">
              <w:rPr>
                <w:i w:val="0"/>
                <w:iCs w:val="0"/>
                <w:color w:val="000000" w:themeColor="text1"/>
              </w:rPr>
              <w:t>HiFi long-read whole-genome sequencing data</w:t>
            </w:r>
          </w:p>
        </w:tc>
        <w:tc>
          <w:tcPr>
            <w:tcW w:w="7200" w:type="dxa"/>
            <w:tcMar>
              <w:left w:w="105" w:type="dxa"/>
              <w:right w:w="105" w:type="dxa"/>
            </w:tcMar>
          </w:tcPr>
          <w:p w14:paraId="311208DD" w14:textId="4CD1F4AC" w:rsidR="78ABC0EF" w:rsidRDefault="78ABC0EF" w:rsidP="78ABC0EF">
            <w:pPr>
              <w:pStyle w:val="BodyText"/>
              <w:rPr>
                <w:color w:val="000000" w:themeColor="text1"/>
              </w:rPr>
            </w:pPr>
            <w:r w:rsidRPr="78ABC0EF">
              <w:rPr>
                <w:i w:val="0"/>
                <w:iCs w:val="0"/>
                <w:color w:val="000000" w:themeColor="text1"/>
              </w:rPr>
              <w:t>FASTQ</w:t>
            </w:r>
          </w:p>
        </w:tc>
      </w:tr>
    </w:tbl>
    <w:p w14:paraId="3DEEC669" w14:textId="77777777" w:rsidR="00B935DB" w:rsidRDefault="00B935DB">
      <w:pPr>
        <w:pStyle w:val="BodyText"/>
        <w:spacing w:before="10"/>
        <w:rPr>
          <w:sz w:val="19"/>
        </w:rPr>
      </w:pPr>
    </w:p>
    <w:p w14:paraId="26AE9959" w14:textId="77777777" w:rsidR="00B935DB" w:rsidRDefault="002D5F84">
      <w:pPr>
        <w:pStyle w:val="Heading1"/>
        <w:spacing w:line="253" w:lineRule="exact"/>
        <w:ind w:left="140" w:firstLine="0"/>
      </w:pPr>
      <w:r>
        <w:t>Element</w:t>
      </w:r>
      <w:r>
        <w:rPr>
          <w:spacing w:val="-9"/>
        </w:rPr>
        <w:t xml:space="preserve"> </w:t>
      </w:r>
      <w:r>
        <w:t>4:</w:t>
      </w:r>
      <w:r>
        <w:rPr>
          <w:spacing w:val="-5"/>
        </w:rPr>
        <w:t xml:space="preserve"> </w:t>
      </w:r>
      <w:r>
        <w:t>Data</w:t>
      </w:r>
      <w:r>
        <w:rPr>
          <w:spacing w:val="-8"/>
        </w:rPr>
        <w:t xml:space="preserve"> </w:t>
      </w:r>
      <w:r>
        <w:t>Preservation,</w:t>
      </w:r>
      <w:r>
        <w:rPr>
          <w:spacing w:val="-6"/>
        </w:rPr>
        <w:t xml:space="preserve"> </w:t>
      </w:r>
      <w:r>
        <w:t>Access,</w:t>
      </w:r>
      <w:r>
        <w:rPr>
          <w:spacing w:val="-6"/>
        </w:rPr>
        <w:t xml:space="preserve"> </w:t>
      </w:r>
      <w:r>
        <w:t>and</w:t>
      </w:r>
      <w:r>
        <w:rPr>
          <w:spacing w:val="-7"/>
        </w:rPr>
        <w:t xml:space="preserve"> </w:t>
      </w:r>
      <w:r>
        <w:t>Associated</w:t>
      </w:r>
      <w:r>
        <w:rPr>
          <w:spacing w:val="-10"/>
        </w:rPr>
        <w:t xml:space="preserve"> </w:t>
      </w:r>
      <w:r>
        <w:rPr>
          <w:spacing w:val="-2"/>
        </w:rPr>
        <w:t>Timelines</w:t>
      </w:r>
    </w:p>
    <w:p w14:paraId="57C8C658" w14:textId="77777777" w:rsidR="00B935DB" w:rsidRDefault="78ABC0EF">
      <w:pPr>
        <w:pStyle w:val="ListParagraph"/>
        <w:numPr>
          <w:ilvl w:val="0"/>
          <w:numId w:val="2"/>
        </w:numPr>
        <w:tabs>
          <w:tab w:val="left" w:pos="861"/>
        </w:tabs>
        <w:spacing w:line="240" w:lineRule="auto"/>
        <w:rPr>
          <w:b/>
        </w:rPr>
      </w:pPr>
      <w:r w:rsidRPr="78ABC0EF">
        <w:rPr>
          <w:b/>
          <w:bCs/>
        </w:rPr>
        <w:t>Repository</w:t>
      </w:r>
      <w:r w:rsidRPr="78ABC0EF">
        <w:rPr>
          <w:b/>
          <w:bCs/>
          <w:spacing w:val="-7"/>
        </w:rPr>
        <w:t xml:space="preserve"> </w:t>
      </w:r>
      <w:r w:rsidRPr="78ABC0EF">
        <w:rPr>
          <w:b/>
          <w:bCs/>
        </w:rPr>
        <w:t>where</w:t>
      </w:r>
      <w:r w:rsidRPr="78ABC0EF">
        <w:rPr>
          <w:b/>
          <w:bCs/>
          <w:spacing w:val="-3"/>
        </w:rPr>
        <w:t xml:space="preserve"> </w:t>
      </w:r>
      <w:r w:rsidRPr="78ABC0EF">
        <w:rPr>
          <w:b/>
          <w:bCs/>
        </w:rPr>
        <w:t>scientific</w:t>
      </w:r>
      <w:r w:rsidRPr="78ABC0EF">
        <w:rPr>
          <w:b/>
          <w:bCs/>
          <w:spacing w:val="-6"/>
        </w:rPr>
        <w:t xml:space="preserve"> </w:t>
      </w:r>
      <w:r w:rsidRPr="78ABC0EF">
        <w:rPr>
          <w:b/>
          <w:bCs/>
        </w:rPr>
        <w:t>data</w:t>
      </w:r>
      <w:r w:rsidRPr="78ABC0EF">
        <w:rPr>
          <w:b/>
          <w:bCs/>
          <w:spacing w:val="-6"/>
        </w:rPr>
        <w:t xml:space="preserve"> </w:t>
      </w:r>
      <w:r w:rsidRPr="78ABC0EF">
        <w:rPr>
          <w:b/>
          <w:bCs/>
        </w:rPr>
        <w:t>and</w:t>
      </w:r>
      <w:r w:rsidRPr="78ABC0EF">
        <w:rPr>
          <w:b/>
          <w:bCs/>
          <w:spacing w:val="-4"/>
        </w:rPr>
        <w:t xml:space="preserve"> </w:t>
      </w:r>
      <w:r w:rsidRPr="78ABC0EF">
        <w:rPr>
          <w:b/>
          <w:bCs/>
        </w:rPr>
        <w:t>metadata</w:t>
      </w:r>
      <w:r w:rsidRPr="78ABC0EF">
        <w:rPr>
          <w:b/>
          <w:bCs/>
          <w:spacing w:val="-4"/>
        </w:rPr>
        <w:t xml:space="preserve"> </w:t>
      </w:r>
      <w:r w:rsidRPr="78ABC0EF">
        <w:rPr>
          <w:b/>
          <w:bCs/>
        </w:rPr>
        <w:t>will</w:t>
      </w:r>
      <w:r w:rsidRPr="78ABC0EF">
        <w:rPr>
          <w:b/>
          <w:bCs/>
          <w:spacing w:val="-2"/>
        </w:rPr>
        <w:t xml:space="preserve"> </w:t>
      </w:r>
      <w:r w:rsidRPr="78ABC0EF">
        <w:rPr>
          <w:b/>
          <w:bCs/>
        </w:rPr>
        <w:t>be</w:t>
      </w:r>
      <w:r w:rsidRPr="78ABC0EF">
        <w:rPr>
          <w:b/>
          <w:bCs/>
          <w:spacing w:val="-7"/>
        </w:rPr>
        <w:t xml:space="preserve"> </w:t>
      </w:r>
      <w:r w:rsidRPr="78ABC0EF">
        <w:rPr>
          <w:b/>
          <w:bCs/>
          <w:spacing w:val="-2"/>
        </w:rPr>
        <w:t>archived:</w:t>
      </w:r>
    </w:p>
    <w:p w14:paraId="45FB0818" w14:textId="16759931" w:rsidR="00B935DB" w:rsidRPr="00FC462F" w:rsidRDefault="00423419" w:rsidP="78ABC0EF">
      <w:pPr>
        <w:pStyle w:val="BodyText"/>
        <w:spacing w:before="8"/>
        <w:rPr>
          <w:i w:val="0"/>
          <w:iCs w:val="0"/>
        </w:rPr>
      </w:pPr>
      <w:r>
        <w:rPr>
          <w:i w:val="0"/>
          <w:iCs w:val="0"/>
        </w:rPr>
        <w:t xml:space="preserve">All scientific data and metadata will be deposited to </w:t>
      </w:r>
      <w:r w:rsidR="59F915E6" w:rsidRPr="00FC462F">
        <w:rPr>
          <w:i w:val="0"/>
          <w:iCs w:val="0"/>
        </w:rPr>
        <w:t>dbGaP</w:t>
      </w:r>
      <w:r w:rsidR="002D5F84">
        <w:rPr>
          <w:i w:val="0"/>
          <w:iCs w:val="0"/>
        </w:rPr>
        <w:t>.</w:t>
      </w:r>
    </w:p>
    <w:p w14:paraId="27A8784B" w14:textId="77777777" w:rsidR="00B935DB" w:rsidRDefault="78ABC0EF">
      <w:pPr>
        <w:pStyle w:val="Heading1"/>
        <w:numPr>
          <w:ilvl w:val="0"/>
          <w:numId w:val="2"/>
        </w:numPr>
        <w:tabs>
          <w:tab w:val="left" w:pos="861"/>
        </w:tabs>
        <w:spacing w:before="94" w:line="240" w:lineRule="auto"/>
      </w:pPr>
      <w:r>
        <w:t>How</w:t>
      </w:r>
      <w:r>
        <w:rPr>
          <w:spacing w:val="-3"/>
        </w:rPr>
        <w:t xml:space="preserve"> </w:t>
      </w:r>
      <w:r>
        <w:t>scientific</w:t>
      </w:r>
      <w:r>
        <w:rPr>
          <w:spacing w:val="-4"/>
        </w:rPr>
        <w:t xml:space="preserve"> </w:t>
      </w:r>
      <w:r>
        <w:t>data</w:t>
      </w:r>
      <w:r>
        <w:rPr>
          <w:spacing w:val="-6"/>
        </w:rPr>
        <w:t xml:space="preserve"> </w:t>
      </w:r>
      <w:r>
        <w:t>will</w:t>
      </w:r>
      <w:r>
        <w:rPr>
          <w:spacing w:val="-4"/>
        </w:rPr>
        <w:t xml:space="preserve"> </w:t>
      </w:r>
      <w:r>
        <w:t>be</w:t>
      </w:r>
      <w:r>
        <w:rPr>
          <w:spacing w:val="-6"/>
        </w:rPr>
        <w:t xml:space="preserve"> </w:t>
      </w:r>
      <w:r>
        <w:t>findable</w:t>
      </w:r>
      <w:r>
        <w:rPr>
          <w:spacing w:val="-4"/>
        </w:rPr>
        <w:t xml:space="preserve"> </w:t>
      </w:r>
      <w:r>
        <w:t>and</w:t>
      </w:r>
      <w:r>
        <w:rPr>
          <w:spacing w:val="-5"/>
        </w:rPr>
        <w:t xml:space="preserve"> </w:t>
      </w:r>
      <w:r>
        <w:rPr>
          <w:spacing w:val="-2"/>
        </w:rPr>
        <w:t>identifiable:</w:t>
      </w:r>
    </w:p>
    <w:p w14:paraId="53128261" w14:textId="1F30449F" w:rsidR="00B935DB" w:rsidRDefault="4B7C676A" w:rsidP="78ABC0EF">
      <w:pPr>
        <w:pStyle w:val="BodyText"/>
      </w:pPr>
      <w:r w:rsidRPr="78ABC0EF">
        <w:rPr>
          <w:i w:val="0"/>
          <w:iCs w:val="0"/>
          <w:color w:val="000000" w:themeColor="text1"/>
        </w:rPr>
        <w:t xml:space="preserve">Our dataset will be registered </w:t>
      </w:r>
      <w:r w:rsidR="00916F7E">
        <w:rPr>
          <w:i w:val="0"/>
          <w:iCs w:val="0"/>
          <w:color w:val="000000" w:themeColor="text1"/>
        </w:rPr>
        <w:t xml:space="preserve">and deposited </w:t>
      </w:r>
      <w:r w:rsidRPr="78ABC0EF">
        <w:rPr>
          <w:i w:val="0"/>
          <w:iCs w:val="0"/>
          <w:color w:val="000000" w:themeColor="text1"/>
        </w:rPr>
        <w:t xml:space="preserve">in dbGaP and assigned a </w:t>
      </w:r>
      <w:proofErr w:type="spellStart"/>
      <w:r w:rsidRPr="78ABC0EF">
        <w:rPr>
          <w:i w:val="0"/>
          <w:iCs w:val="0"/>
          <w:color w:val="000000" w:themeColor="text1"/>
        </w:rPr>
        <w:t>phsID</w:t>
      </w:r>
      <w:proofErr w:type="spellEnd"/>
      <w:r w:rsidRPr="78ABC0EF">
        <w:rPr>
          <w:i w:val="0"/>
          <w:iCs w:val="0"/>
          <w:color w:val="000000" w:themeColor="text1"/>
        </w:rPr>
        <w:t>. Data will be findable and identifiable via the standard data indexing tools in dbGaP/NCBI. We will reference the accession number(s) for our dataset(s) in all relevant future publications.</w:t>
      </w:r>
    </w:p>
    <w:p w14:paraId="4969B446" w14:textId="77777777" w:rsidR="00B935DB" w:rsidRDefault="78ABC0EF">
      <w:pPr>
        <w:pStyle w:val="Heading1"/>
        <w:numPr>
          <w:ilvl w:val="0"/>
          <w:numId w:val="2"/>
        </w:numPr>
        <w:tabs>
          <w:tab w:val="left" w:pos="861"/>
        </w:tabs>
        <w:spacing w:before="206"/>
      </w:pPr>
      <w:r>
        <w:t>When</w:t>
      </w:r>
      <w:r>
        <w:rPr>
          <w:spacing w:val="-3"/>
        </w:rPr>
        <w:t xml:space="preserve"> </w:t>
      </w:r>
      <w:r>
        <w:t>and</w:t>
      </w:r>
      <w:r>
        <w:rPr>
          <w:spacing w:val="-5"/>
        </w:rPr>
        <w:t xml:space="preserve"> </w:t>
      </w:r>
      <w:r>
        <w:t>how</w:t>
      </w:r>
      <w:r>
        <w:rPr>
          <w:spacing w:val="-3"/>
        </w:rPr>
        <w:t xml:space="preserve"> </w:t>
      </w:r>
      <w:r>
        <w:t>long</w:t>
      </w:r>
      <w:r>
        <w:rPr>
          <w:spacing w:val="-5"/>
        </w:rPr>
        <w:t xml:space="preserve"> </w:t>
      </w:r>
      <w:r>
        <w:t>the</w:t>
      </w:r>
      <w:r>
        <w:rPr>
          <w:spacing w:val="-3"/>
        </w:rPr>
        <w:t xml:space="preserve"> </w:t>
      </w:r>
      <w:r>
        <w:t>scientific</w:t>
      </w:r>
      <w:r>
        <w:rPr>
          <w:spacing w:val="-4"/>
        </w:rPr>
        <w:t xml:space="preserve"> </w:t>
      </w:r>
      <w:r>
        <w:t>data</w:t>
      </w:r>
      <w:r>
        <w:rPr>
          <w:spacing w:val="-5"/>
        </w:rPr>
        <w:t xml:space="preserve"> </w:t>
      </w:r>
      <w:r>
        <w:t>will</w:t>
      </w:r>
      <w:r>
        <w:rPr>
          <w:spacing w:val="-3"/>
        </w:rPr>
        <w:t xml:space="preserve"> </w:t>
      </w:r>
      <w:r>
        <w:t>be</w:t>
      </w:r>
      <w:r>
        <w:rPr>
          <w:spacing w:val="-5"/>
        </w:rPr>
        <w:t xml:space="preserve"> </w:t>
      </w:r>
      <w:r>
        <w:t>made</w:t>
      </w:r>
      <w:r>
        <w:rPr>
          <w:spacing w:val="-2"/>
        </w:rPr>
        <w:t xml:space="preserve"> available:</w:t>
      </w:r>
    </w:p>
    <w:p w14:paraId="3F3CDFD7" w14:textId="6A4CD333" w:rsidR="00B935DB" w:rsidRDefault="009D114B" w:rsidP="78ABC0EF">
      <w:pPr>
        <w:rPr>
          <w:color w:val="000000" w:themeColor="text1"/>
        </w:rPr>
      </w:pPr>
      <w:r w:rsidRPr="78ABC0EF">
        <w:rPr>
          <w:color w:val="000000" w:themeColor="text1"/>
        </w:rPr>
        <w:t>We will meet the data submission and release timeframes specified by the NIH Genomic Data Sharing and Data Management and Sharing Policies, as described on NIH’s data sharing website and NHGRI’s data sharing policies and expectations webpage. In accordance with</w:t>
      </w:r>
      <w:r>
        <w:rPr>
          <w:color w:val="000000" w:themeColor="text1"/>
        </w:rPr>
        <w:t xml:space="preserve"> the NIH Genomic Data Sharing Policy</w:t>
      </w:r>
      <w:r w:rsidRPr="78ABC0EF">
        <w:rPr>
          <w:color w:val="000000" w:themeColor="text1"/>
        </w:rPr>
        <w:t xml:space="preserve"> and NHGRI’s Expectations for Data Submissions and Release</w:t>
      </w:r>
      <w:r>
        <w:rPr>
          <w:color w:val="000000" w:themeColor="text1"/>
        </w:rPr>
        <w:t xml:space="preserve"> timelines for level 2 data</w:t>
      </w:r>
      <w:r w:rsidRPr="78ABC0EF">
        <w:rPr>
          <w:color w:val="000000" w:themeColor="text1"/>
        </w:rPr>
        <w:t>, we will begin submitting genomic data no later than 3 months after data is generated and quality measures has been assessed. Genomic data will be released 6 months after they are submitted to dbGaP</w:t>
      </w:r>
      <w:r>
        <w:rPr>
          <w:color w:val="000000" w:themeColor="text1"/>
        </w:rPr>
        <w:t xml:space="preserve"> in accordance with the level 2 data release timeline</w:t>
      </w:r>
      <w:r w:rsidRPr="78ABC0EF">
        <w:rPr>
          <w:color w:val="000000" w:themeColor="text1"/>
        </w:rPr>
        <w:t>. Metadata and associated documentation will be submitted along with the genomic data files, and the dataset will be released in full by the time any results</w:t>
      </w:r>
      <w:r w:rsidR="008D73D3">
        <w:rPr>
          <w:color w:val="000000" w:themeColor="text1"/>
        </w:rPr>
        <w:t>,</w:t>
      </w:r>
      <w:r w:rsidRPr="78ABC0EF">
        <w:rPr>
          <w:color w:val="000000" w:themeColor="text1"/>
        </w:rPr>
        <w:t xml:space="preserve"> supported in whole or in part by this award</w:t>
      </w:r>
      <w:r w:rsidR="008D73D3">
        <w:rPr>
          <w:color w:val="000000" w:themeColor="text1"/>
        </w:rPr>
        <w:t>,</w:t>
      </w:r>
      <w:r w:rsidRPr="78ABC0EF">
        <w:rPr>
          <w:color w:val="000000" w:themeColor="text1"/>
        </w:rPr>
        <w:t xml:space="preserve"> </w:t>
      </w:r>
      <w:r>
        <w:rPr>
          <w:color w:val="000000" w:themeColor="text1"/>
        </w:rPr>
        <w:t xml:space="preserve">at time of associated </w:t>
      </w:r>
      <w:r>
        <w:rPr>
          <w:color w:val="000000" w:themeColor="text1"/>
        </w:rPr>
        <w:lastRenderedPageBreak/>
        <w:t>publication</w:t>
      </w:r>
      <w:r w:rsidRPr="78ABC0EF">
        <w:rPr>
          <w:color w:val="000000" w:themeColor="text1"/>
        </w:rPr>
        <w:t xml:space="preserve">. If we do not publish on these data or a portion of the data, they will be released </w:t>
      </w:r>
      <w:r>
        <w:rPr>
          <w:color w:val="000000" w:themeColor="text1"/>
        </w:rPr>
        <w:t>by</w:t>
      </w:r>
      <w:r w:rsidRPr="78ABC0EF">
        <w:rPr>
          <w:color w:val="000000" w:themeColor="text1"/>
        </w:rPr>
        <w:t xml:space="preserve"> the end of this award.</w:t>
      </w:r>
      <w:r>
        <w:rPr>
          <w:color w:val="000000" w:themeColor="text1"/>
        </w:rPr>
        <w:t xml:space="preserve"> Level 3-4 data will not be generated for this project</w:t>
      </w:r>
      <w:r>
        <w:rPr>
          <w:color w:val="000000" w:themeColor="text1"/>
        </w:rPr>
        <w:t>.</w:t>
      </w:r>
    </w:p>
    <w:p w14:paraId="79C9C2EE" w14:textId="77777777" w:rsidR="009D114B" w:rsidRDefault="009D114B" w:rsidP="78ABC0EF">
      <w:pPr>
        <w:rPr>
          <w:color w:val="000000" w:themeColor="text1"/>
        </w:rPr>
      </w:pPr>
    </w:p>
    <w:p w14:paraId="5729DAA9" w14:textId="469A4E4B" w:rsidR="00B935DB" w:rsidRDefault="7771BB91" w:rsidP="78ABC0EF">
      <w:pPr>
        <w:rPr>
          <w:color w:val="000000" w:themeColor="text1"/>
        </w:rPr>
      </w:pPr>
      <w:r w:rsidRPr="78ABC0EF">
        <w:rPr>
          <w:color w:val="000000" w:themeColor="text1"/>
        </w:rPr>
        <w:t xml:space="preserve">Currently, dbGaP has no process for deleting or retiring data sets; data will be available for as long as </w:t>
      </w:r>
      <w:r w:rsidR="4EA8960F" w:rsidRPr="78ABC0EF">
        <w:rPr>
          <w:color w:val="000000" w:themeColor="text1"/>
        </w:rPr>
        <w:t>dbGaP</w:t>
      </w:r>
      <w:r w:rsidRPr="78ABC0EF">
        <w:rPr>
          <w:color w:val="000000" w:themeColor="text1"/>
        </w:rPr>
        <w:t xml:space="preserve"> preserves the dataset.</w:t>
      </w:r>
    </w:p>
    <w:p w14:paraId="55DC7940" w14:textId="085355D4" w:rsidR="00B935DB" w:rsidRDefault="00B935DB" w:rsidP="78ABC0EF">
      <w:pPr>
        <w:pStyle w:val="BodyText"/>
        <w:ind w:left="860" w:right="279"/>
      </w:pPr>
    </w:p>
    <w:p w14:paraId="4E3834C2" w14:textId="04A0DD1C" w:rsidR="00B935DB" w:rsidRDefault="560F44EB" w:rsidP="78ABC0EF">
      <w:pPr>
        <w:pStyle w:val="Heading1"/>
        <w:ind w:left="0" w:firstLine="0"/>
        <w:rPr>
          <w:i/>
          <w:iCs/>
          <w:sz w:val="20"/>
          <w:szCs w:val="20"/>
        </w:rPr>
      </w:pPr>
      <w:r>
        <w:t>Element 5: Access, Distribution, or Reuse Considerations</w:t>
      </w:r>
    </w:p>
    <w:p w14:paraId="700227AF" w14:textId="77777777" w:rsidR="00B935DB" w:rsidRDefault="560F44EB" w:rsidP="78ABC0EF">
      <w:pPr>
        <w:pStyle w:val="ListParagraph"/>
        <w:numPr>
          <w:ilvl w:val="0"/>
          <w:numId w:val="1"/>
        </w:numPr>
        <w:tabs>
          <w:tab w:val="left" w:pos="861"/>
        </w:tabs>
        <w:rPr>
          <w:b/>
          <w:bCs/>
        </w:rPr>
      </w:pPr>
      <w:r w:rsidRPr="78ABC0EF">
        <w:rPr>
          <w:b/>
          <w:bCs/>
        </w:rPr>
        <w:t>Factors affecting subsequent access, distribution, or reuse of scientific data:</w:t>
      </w:r>
    </w:p>
    <w:p w14:paraId="19A88082" w14:textId="35613AB7" w:rsidR="00B935DB" w:rsidRDefault="00895833" w:rsidP="78ABC0EF">
      <w:pPr>
        <w:pStyle w:val="BodyText"/>
        <w:rPr>
          <w:i w:val="0"/>
          <w:iCs w:val="0"/>
        </w:rPr>
      </w:pPr>
      <w:r>
        <w:rPr>
          <w:i w:val="0"/>
          <w:iCs w:val="0"/>
        </w:rPr>
        <w:t>The NIH-Lacks Family Agreement (Agreement) expects NIH-funded investigators who generate HeLa cell whole genome sequence data (DNA or RNA) to submit those data to NIH through dbGaP to the HeLa cell Genome Sequencing Studies. The data are distributed according to the HeLa Genome Data Use Agreement under Health, Medical, and Biomedical (HMB) purposes.</w:t>
      </w:r>
      <w:r w:rsidR="009D114B">
        <w:rPr>
          <w:i w:val="0"/>
          <w:iCs w:val="0"/>
        </w:rPr>
        <w:t xml:space="preserve"> Through the NIH-Lacks Family Agreement, an Institutional Certification with the designated HMB data use limitation has been completed for the HeLa cell Genome Sequencing Studies and is held by dbGaP. </w:t>
      </w:r>
      <w:r w:rsidR="008D73D3">
        <w:rPr>
          <w:i w:val="0"/>
          <w:iCs w:val="0"/>
        </w:rPr>
        <w:t>No additional Institutional Certification is needed.</w:t>
      </w:r>
    </w:p>
    <w:p w14:paraId="57E81844" w14:textId="77777777" w:rsidR="00B935DB" w:rsidRDefault="00B935DB" w:rsidP="78ABC0EF">
      <w:pPr>
        <w:pStyle w:val="BodyText"/>
        <w:spacing w:before="3"/>
        <w:rPr>
          <w:sz w:val="16"/>
          <w:szCs w:val="16"/>
        </w:rPr>
      </w:pPr>
    </w:p>
    <w:p w14:paraId="3075E1D8" w14:textId="77777777" w:rsidR="00B935DB" w:rsidRDefault="560F44EB" w:rsidP="78ABC0EF">
      <w:pPr>
        <w:pStyle w:val="Heading1"/>
        <w:numPr>
          <w:ilvl w:val="0"/>
          <w:numId w:val="1"/>
        </w:numPr>
        <w:tabs>
          <w:tab w:val="left" w:pos="861"/>
        </w:tabs>
        <w:spacing w:before="94" w:line="240" w:lineRule="auto"/>
      </w:pPr>
      <w:r>
        <w:t>Whether access to scientific data will be controlled:</w:t>
      </w:r>
    </w:p>
    <w:p w14:paraId="7B21C091" w14:textId="4ADA7817" w:rsidR="00B935DB" w:rsidRPr="002D5F84" w:rsidRDefault="05B5C40A" w:rsidP="78ABC0EF">
      <w:pPr>
        <w:pStyle w:val="BodyText"/>
        <w:rPr>
          <w:i w:val="0"/>
          <w:iCs w:val="0"/>
        </w:rPr>
      </w:pPr>
      <w:r w:rsidRPr="78ABC0EF">
        <w:rPr>
          <w:i w:val="0"/>
          <w:iCs w:val="0"/>
        </w:rPr>
        <w:t xml:space="preserve">Yes, </w:t>
      </w:r>
      <w:r w:rsidR="4D0D7DA0" w:rsidRPr="78ABC0EF">
        <w:rPr>
          <w:i w:val="0"/>
          <w:iCs w:val="0"/>
        </w:rPr>
        <w:t>data will be controlled</w:t>
      </w:r>
      <w:r w:rsidRPr="78ABC0EF">
        <w:rPr>
          <w:i w:val="0"/>
          <w:iCs w:val="0"/>
        </w:rPr>
        <w:t xml:space="preserve">. </w:t>
      </w:r>
      <w:r w:rsidR="0F169740" w:rsidRPr="78ABC0EF">
        <w:rPr>
          <w:i w:val="0"/>
          <w:iCs w:val="0"/>
        </w:rPr>
        <w:t xml:space="preserve">Access </w:t>
      </w:r>
      <w:r w:rsidR="00D30435">
        <w:rPr>
          <w:i w:val="0"/>
          <w:iCs w:val="0"/>
        </w:rPr>
        <w:t>requests</w:t>
      </w:r>
      <w:r w:rsidR="00D30435" w:rsidRPr="78ABC0EF">
        <w:rPr>
          <w:i w:val="0"/>
          <w:iCs w:val="0"/>
        </w:rPr>
        <w:t xml:space="preserve"> </w:t>
      </w:r>
      <w:r w:rsidR="0F169740" w:rsidRPr="78ABC0EF">
        <w:rPr>
          <w:i w:val="0"/>
          <w:iCs w:val="0"/>
        </w:rPr>
        <w:t>for</w:t>
      </w:r>
      <w:r w:rsidR="733481FD" w:rsidRPr="78ABC0EF">
        <w:rPr>
          <w:i w:val="0"/>
          <w:iCs w:val="0"/>
        </w:rPr>
        <w:t xml:space="preserve"> HeLa Cell Genome Sequences Studies are </w:t>
      </w:r>
      <w:r w:rsidR="00D30435">
        <w:rPr>
          <w:i w:val="0"/>
          <w:iCs w:val="0"/>
        </w:rPr>
        <w:t xml:space="preserve">evaluated </w:t>
      </w:r>
      <w:r w:rsidRPr="78ABC0EF">
        <w:rPr>
          <w:i w:val="0"/>
          <w:iCs w:val="0"/>
        </w:rPr>
        <w:t xml:space="preserve">by the </w:t>
      </w:r>
      <w:r w:rsidR="00D30435">
        <w:rPr>
          <w:i w:val="0"/>
          <w:iCs w:val="0"/>
        </w:rPr>
        <w:t xml:space="preserve">Advisory Committee to the Director (ACD) </w:t>
      </w:r>
      <w:r w:rsidRPr="78ABC0EF">
        <w:rPr>
          <w:i w:val="0"/>
          <w:iCs w:val="0"/>
        </w:rPr>
        <w:t>HeLa Genome Data Access Working Group</w:t>
      </w:r>
      <w:r w:rsidR="00D30435">
        <w:rPr>
          <w:i w:val="0"/>
          <w:iCs w:val="0"/>
        </w:rPr>
        <w:t xml:space="preserve"> to assess whether terms of use align with the HeLa Genome Data Use Agreement</w:t>
      </w:r>
      <w:r w:rsidRPr="78ABC0EF">
        <w:rPr>
          <w:i w:val="0"/>
          <w:iCs w:val="0"/>
        </w:rPr>
        <w:t>.</w:t>
      </w:r>
      <w:r w:rsidR="00D30435">
        <w:rPr>
          <w:i w:val="0"/>
          <w:iCs w:val="0"/>
        </w:rPr>
        <w:t xml:space="preserve"> The requests are then reviewed by the ACD to recommend to the NIH Director to approve or disapprove. The NIH Director makes the final access decision.</w:t>
      </w:r>
      <w:r w:rsidRPr="78ABC0EF">
        <w:rPr>
          <w:i w:val="0"/>
          <w:iCs w:val="0"/>
        </w:rPr>
        <w:t xml:space="preserve"> </w:t>
      </w:r>
    </w:p>
    <w:p w14:paraId="189E2A1A" w14:textId="77777777" w:rsidR="00B935DB" w:rsidRDefault="560F44EB" w:rsidP="78ABC0EF">
      <w:pPr>
        <w:pStyle w:val="Heading1"/>
        <w:numPr>
          <w:ilvl w:val="0"/>
          <w:numId w:val="1"/>
        </w:numPr>
        <w:tabs>
          <w:tab w:val="left" w:pos="861"/>
        </w:tabs>
        <w:spacing w:before="182"/>
      </w:pPr>
      <w:r>
        <w:t>Protections for privacy, rights, and confidentiality of human research participants:</w:t>
      </w:r>
    </w:p>
    <w:p w14:paraId="53CD0896" w14:textId="73A948B1" w:rsidR="00B935DB" w:rsidRPr="002D5F84" w:rsidRDefault="649E3F06" w:rsidP="78ABC0EF">
      <w:pPr>
        <w:pStyle w:val="BodyText"/>
        <w:rPr>
          <w:i w:val="0"/>
          <w:iCs w:val="0"/>
        </w:rPr>
      </w:pPr>
      <w:r w:rsidRPr="78ABC0EF">
        <w:rPr>
          <w:i w:val="0"/>
          <w:iCs w:val="0"/>
        </w:rPr>
        <w:t>Upon receipt of an NIH Award, the data for this study will be protected by a Certificate of Confidentiality.</w:t>
      </w:r>
    </w:p>
    <w:p w14:paraId="30A28C59" w14:textId="77777777" w:rsidR="00B935DB" w:rsidRDefault="560F44EB" w:rsidP="78ABC0EF">
      <w:pPr>
        <w:pStyle w:val="Heading1"/>
        <w:spacing w:before="209"/>
        <w:ind w:left="140" w:firstLine="0"/>
      </w:pPr>
      <w:r>
        <w:t>Element 6: Oversight of Data Management and Sharing:</w:t>
      </w:r>
    </w:p>
    <w:p w14:paraId="258C1F50" w14:textId="3A3DE864" w:rsidR="00B935DB" w:rsidRDefault="2F8C1EDE" w:rsidP="78ABC0EF">
      <w:pPr>
        <w:widowControl/>
      </w:pPr>
      <w:r w:rsidRPr="78ABC0EF">
        <w:rPr>
          <w:rStyle w:val="normaltextrun"/>
          <w:color w:val="000000" w:themeColor="text1"/>
        </w:rPr>
        <w:t xml:space="preserve">The study PI will be overseeing execution of this Data Management and Sharing Plan. The Study PI will be assessing quality metrics and will </w:t>
      </w:r>
      <w:r w:rsidR="00C152D0">
        <w:rPr>
          <w:rStyle w:val="normaltextrun"/>
          <w:color w:val="000000" w:themeColor="text1"/>
        </w:rPr>
        <w:t xml:space="preserve">deposit all scientific data and metadata according to the timelines </w:t>
      </w:r>
      <w:r w:rsidR="00DC6746">
        <w:rPr>
          <w:rStyle w:val="normaltextrun"/>
          <w:color w:val="000000" w:themeColor="text1"/>
        </w:rPr>
        <w:t>provided above</w:t>
      </w:r>
      <w:r w:rsidRPr="78ABC0EF">
        <w:rPr>
          <w:rStyle w:val="normaltextrun"/>
          <w:color w:val="000000" w:themeColor="text1"/>
        </w:rPr>
        <w:t>. Progress on data sharing will be reported in the Research Performance Progress Report. </w:t>
      </w:r>
    </w:p>
    <w:sectPr w:rsidR="00B935DB">
      <w:headerReference w:type="default" r:id="rId11"/>
      <w:pgSz w:w="12240" w:h="15840"/>
      <w:pgMar w:top="1000" w:right="580" w:bottom="280" w:left="580" w:header="2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2E61D" w14:textId="77777777" w:rsidR="00105A6C" w:rsidRDefault="00105A6C">
      <w:r>
        <w:separator/>
      </w:r>
    </w:p>
  </w:endnote>
  <w:endnote w:type="continuationSeparator" w:id="0">
    <w:p w14:paraId="4132CB2A" w14:textId="77777777" w:rsidR="00105A6C" w:rsidRDefault="00105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DBD69" w14:textId="77777777" w:rsidR="00105A6C" w:rsidRDefault="00105A6C">
      <w:r>
        <w:separator/>
      </w:r>
    </w:p>
  </w:footnote>
  <w:footnote w:type="continuationSeparator" w:id="0">
    <w:p w14:paraId="19D5E438" w14:textId="77777777" w:rsidR="00105A6C" w:rsidRDefault="00105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68D8" w14:textId="20DC3363" w:rsidR="00B935DB" w:rsidRDefault="00F86E64">
    <w:pPr>
      <w:pStyle w:val="BodyText"/>
      <w:spacing w:line="14" w:lineRule="auto"/>
      <w:rPr>
        <w:i w:val="0"/>
        <w:sz w:val="20"/>
      </w:rPr>
    </w:pPr>
    <w:r>
      <w:rPr>
        <w:noProof/>
      </w:rPr>
      <mc:AlternateContent>
        <mc:Choice Requires="wps">
          <w:drawing>
            <wp:anchor distT="0" distB="0" distL="114300" distR="114300" simplePos="0" relativeHeight="251657728" behindDoc="1" locked="0" layoutInCell="1" allowOverlap="1" wp14:anchorId="100F2E2E" wp14:editId="7554CCB5">
              <wp:simplePos x="0" y="0"/>
              <wp:positionH relativeFrom="margin">
                <wp:align>left</wp:align>
              </wp:positionH>
              <wp:positionV relativeFrom="page">
                <wp:posOffset>174929</wp:posOffset>
              </wp:positionV>
              <wp:extent cx="6962692" cy="343535"/>
              <wp:effectExtent l="0" t="0" r="10160" b="18415"/>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692"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9C33E9" w14:textId="77777777" w:rsidR="00B935DB" w:rsidRDefault="002D5F84">
                          <w:pPr>
                            <w:spacing w:before="15" w:line="183" w:lineRule="exact"/>
                            <w:ind w:left="1273"/>
                            <w:rPr>
                              <w:i/>
                              <w:sz w:val="16"/>
                            </w:rPr>
                          </w:pPr>
                          <w:r>
                            <w:rPr>
                              <w:sz w:val="16"/>
                            </w:rPr>
                            <w:t>OMB</w:t>
                          </w:r>
                          <w:r>
                            <w:rPr>
                              <w:spacing w:val="-6"/>
                              <w:sz w:val="16"/>
                            </w:rPr>
                            <w:t xml:space="preserve"> </w:t>
                          </w:r>
                          <w:r>
                            <w:rPr>
                              <w:sz w:val="16"/>
                            </w:rPr>
                            <w:t>No.</w:t>
                          </w:r>
                          <w:r>
                            <w:rPr>
                              <w:spacing w:val="-4"/>
                              <w:sz w:val="16"/>
                            </w:rPr>
                            <w:t xml:space="preserve"> </w:t>
                          </w:r>
                          <w:r>
                            <w:rPr>
                              <w:sz w:val="16"/>
                            </w:rPr>
                            <w:t>0925-0001</w:t>
                          </w:r>
                          <w:r>
                            <w:rPr>
                              <w:spacing w:val="-5"/>
                              <w:sz w:val="16"/>
                            </w:rPr>
                            <w:t xml:space="preserve"> </w:t>
                          </w:r>
                          <w:r>
                            <w:rPr>
                              <w:sz w:val="16"/>
                            </w:rPr>
                            <w:t>and</w:t>
                          </w:r>
                          <w:r>
                            <w:rPr>
                              <w:spacing w:val="-5"/>
                              <w:sz w:val="16"/>
                            </w:rPr>
                            <w:t xml:space="preserve"> </w:t>
                          </w:r>
                          <w:r>
                            <w:rPr>
                              <w:sz w:val="16"/>
                            </w:rPr>
                            <w:t>0925-0002</w:t>
                          </w:r>
                          <w:r>
                            <w:rPr>
                              <w:spacing w:val="-4"/>
                              <w:sz w:val="16"/>
                            </w:rPr>
                            <w:t xml:space="preserve"> </w:t>
                          </w:r>
                          <w:r>
                            <w:rPr>
                              <w:i/>
                              <w:sz w:val="16"/>
                            </w:rPr>
                            <w:t>(Rev.</w:t>
                          </w:r>
                          <w:r>
                            <w:rPr>
                              <w:i/>
                              <w:spacing w:val="-5"/>
                              <w:sz w:val="16"/>
                            </w:rPr>
                            <w:t xml:space="preserve"> </w:t>
                          </w:r>
                          <w:r>
                            <w:rPr>
                              <w:i/>
                              <w:sz w:val="16"/>
                            </w:rPr>
                            <w:t>07/2022</w:t>
                          </w:r>
                          <w:r>
                            <w:rPr>
                              <w:i/>
                              <w:spacing w:val="-7"/>
                              <w:sz w:val="16"/>
                            </w:rPr>
                            <w:t xml:space="preserve"> </w:t>
                          </w:r>
                          <w:r>
                            <w:rPr>
                              <w:i/>
                              <w:sz w:val="16"/>
                            </w:rPr>
                            <w:t>Approved</w:t>
                          </w:r>
                          <w:r>
                            <w:rPr>
                              <w:i/>
                              <w:spacing w:val="-5"/>
                              <w:sz w:val="16"/>
                            </w:rPr>
                            <w:t xml:space="preserve"> </w:t>
                          </w:r>
                          <w:r>
                            <w:rPr>
                              <w:i/>
                              <w:sz w:val="16"/>
                            </w:rPr>
                            <w:t>Through</w:t>
                          </w:r>
                          <w:r>
                            <w:rPr>
                              <w:i/>
                              <w:spacing w:val="-4"/>
                              <w:sz w:val="16"/>
                            </w:rPr>
                            <w:t xml:space="preserve"> TBD)</w:t>
                          </w:r>
                        </w:p>
                        <w:p w14:paraId="053B97D7" w14:textId="66C78789" w:rsidR="00B935DB" w:rsidRPr="00C116D9" w:rsidRDefault="00C116D9">
                          <w:pPr>
                            <w:spacing w:line="321" w:lineRule="exact"/>
                            <w:ind w:left="20"/>
                            <w:rPr>
                              <w:b/>
                              <w:sz w:val="26"/>
                              <w:szCs w:val="26"/>
                            </w:rPr>
                          </w:pPr>
                          <w:r w:rsidRPr="00C116D9">
                            <w:rPr>
                              <w:b/>
                              <w:color w:val="FF0000"/>
                              <w:sz w:val="26"/>
                              <w:szCs w:val="26"/>
                            </w:rPr>
                            <w:t>OD Example Plan</w:t>
                          </w:r>
                          <w:r w:rsidR="007F7B5A">
                            <w:rPr>
                              <w:b/>
                              <w:color w:val="FF0000"/>
                              <w:sz w:val="26"/>
                              <w:szCs w:val="26"/>
                            </w:rPr>
                            <w:t xml:space="preserve">: </w:t>
                          </w:r>
                          <w:r w:rsidRPr="00C116D9">
                            <w:rPr>
                              <w:b/>
                              <w:color w:val="FF0000"/>
                              <w:sz w:val="26"/>
                              <w:szCs w:val="26"/>
                            </w:rPr>
                            <w:t>Generat</w:t>
                          </w:r>
                          <w:r w:rsidR="007F7B5A">
                            <w:rPr>
                              <w:b/>
                              <w:color w:val="FF0000"/>
                              <w:sz w:val="26"/>
                              <w:szCs w:val="26"/>
                            </w:rPr>
                            <w:t>ion of</w:t>
                          </w:r>
                          <w:r w:rsidRPr="00C116D9">
                            <w:rPr>
                              <w:b/>
                              <w:color w:val="FF0000"/>
                              <w:sz w:val="26"/>
                              <w:szCs w:val="26"/>
                            </w:rPr>
                            <w:t xml:space="preserve"> HeLa cell Whole Genome Sequence Data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F2E2E" id="_x0000_t202" coordsize="21600,21600" o:spt="202" path="m,l,21600r21600,l21600,xe">
              <v:stroke joinstyle="miter"/>
              <v:path gradientshapeok="t" o:connecttype="rect"/>
            </v:shapetype>
            <v:shape id="docshape1" o:spid="_x0000_s1026" type="#_x0000_t202" style="position:absolute;margin-left:0;margin-top:13.75pt;width:548.25pt;height:27.0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" filled="f" stroked="f">
              <v:textbox inset="0,0,0,0">
                <w:txbxContent>
                  <w:p w14:paraId="409C33E9" w14:textId="77777777" w:rsidR="00B935DB" w:rsidRDefault="002D5F84">
                    <w:pPr>
                      <w:spacing w:before="15" w:line="183" w:lineRule="exact"/>
                      <w:ind w:left="1273"/>
                      <w:rPr>
                        <w:i/>
                        <w:sz w:val="16"/>
                      </w:rPr>
                    </w:pPr>
                    <w:r>
                      <w:rPr>
                        <w:sz w:val="16"/>
                      </w:rPr>
                      <w:t>OMB</w:t>
                    </w:r>
                    <w:r>
                      <w:rPr>
                        <w:spacing w:val="-6"/>
                        <w:sz w:val="16"/>
                      </w:rPr>
                      <w:t xml:space="preserve"> </w:t>
                    </w:r>
                    <w:r>
                      <w:rPr>
                        <w:sz w:val="16"/>
                      </w:rPr>
                      <w:t>No.</w:t>
                    </w:r>
                    <w:r>
                      <w:rPr>
                        <w:spacing w:val="-4"/>
                        <w:sz w:val="16"/>
                      </w:rPr>
                      <w:t xml:space="preserve"> </w:t>
                    </w:r>
                    <w:r>
                      <w:rPr>
                        <w:sz w:val="16"/>
                      </w:rPr>
                      <w:t>0925-0001</w:t>
                    </w:r>
                    <w:r>
                      <w:rPr>
                        <w:spacing w:val="-5"/>
                        <w:sz w:val="16"/>
                      </w:rPr>
                      <w:t xml:space="preserve"> </w:t>
                    </w:r>
                    <w:r>
                      <w:rPr>
                        <w:sz w:val="16"/>
                      </w:rPr>
                      <w:t>and</w:t>
                    </w:r>
                    <w:r>
                      <w:rPr>
                        <w:spacing w:val="-5"/>
                        <w:sz w:val="16"/>
                      </w:rPr>
                      <w:t xml:space="preserve"> </w:t>
                    </w:r>
                    <w:r>
                      <w:rPr>
                        <w:sz w:val="16"/>
                      </w:rPr>
                      <w:t>0925-0002</w:t>
                    </w:r>
                    <w:r>
                      <w:rPr>
                        <w:spacing w:val="-4"/>
                        <w:sz w:val="16"/>
                      </w:rPr>
                      <w:t xml:space="preserve"> </w:t>
                    </w:r>
                    <w:r>
                      <w:rPr>
                        <w:i/>
                        <w:sz w:val="16"/>
                      </w:rPr>
                      <w:t>(Rev.</w:t>
                    </w:r>
                    <w:r>
                      <w:rPr>
                        <w:i/>
                        <w:spacing w:val="-5"/>
                        <w:sz w:val="16"/>
                      </w:rPr>
                      <w:t xml:space="preserve"> </w:t>
                    </w:r>
                    <w:r>
                      <w:rPr>
                        <w:i/>
                        <w:sz w:val="16"/>
                      </w:rPr>
                      <w:t>07/2022</w:t>
                    </w:r>
                    <w:r>
                      <w:rPr>
                        <w:i/>
                        <w:spacing w:val="-7"/>
                        <w:sz w:val="16"/>
                      </w:rPr>
                      <w:t xml:space="preserve"> </w:t>
                    </w:r>
                    <w:r>
                      <w:rPr>
                        <w:i/>
                        <w:sz w:val="16"/>
                      </w:rPr>
                      <w:t>Approved</w:t>
                    </w:r>
                    <w:r>
                      <w:rPr>
                        <w:i/>
                        <w:spacing w:val="-5"/>
                        <w:sz w:val="16"/>
                      </w:rPr>
                      <w:t xml:space="preserve"> </w:t>
                    </w:r>
                    <w:r>
                      <w:rPr>
                        <w:i/>
                        <w:sz w:val="16"/>
                      </w:rPr>
                      <w:t>Through</w:t>
                    </w:r>
                    <w:r>
                      <w:rPr>
                        <w:i/>
                        <w:spacing w:val="-4"/>
                        <w:sz w:val="16"/>
                      </w:rPr>
                      <w:t xml:space="preserve"> TBD)</w:t>
                    </w:r>
                  </w:p>
                  <w:p w14:paraId="053B97D7" w14:textId="66C78789" w:rsidR="00B935DB" w:rsidRPr="00C116D9" w:rsidRDefault="00C116D9">
                    <w:pPr>
                      <w:spacing w:line="321" w:lineRule="exact"/>
                      <w:ind w:left="20"/>
                      <w:rPr>
                        <w:b/>
                        <w:sz w:val="26"/>
                        <w:szCs w:val="26"/>
                      </w:rPr>
                    </w:pPr>
                    <w:r w:rsidRPr="00C116D9">
                      <w:rPr>
                        <w:b/>
                        <w:color w:val="FF0000"/>
                        <w:sz w:val="26"/>
                        <w:szCs w:val="26"/>
                      </w:rPr>
                      <w:t>OD Example Plan</w:t>
                    </w:r>
                    <w:r w:rsidR="007F7B5A">
                      <w:rPr>
                        <w:b/>
                        <w:color w:val="FF0000"/>
                        <w:sz w:val="26"/>
                        <w:szCs w:val="26"/>
                      </w:rPr>
                      <w:t xml:space="preserve">: </w:t>
                    </w:r>
                    <w:r w:rsidRPr="00C116D9">
                      <w:rPr>
                        <w:b/>
                        <w:color w:val="FF0000"/>
                        <w:sz w:val="26"/>
                        <w:szCs w:val="26"/>
                      </w:rPr>
                      <w:t>Generat</w:t>
                    </w:r>
                    <w:r w:rsidR="007F7B5A">
                      <w:rPr>
                        <w:b/>
                        <w:color w:val="FF0000"/>
                        <w:sz w:val="26"/>
                        <w:szCs w:val="26"/>
                      </w:rPr>
                      <w:t>ion of</w:t>
                    </w:r>
                    <w:r w:rsidRPr="00C116D9">
                      <w:rPr>
                        <w:b/>
                        <w:color w:val="FF0000"/>
                        <w:sz w:val="26"/>
                        <w:szCs w:val="26"/>
                      </w:rPr>
                      <w:t xml:space="preserve"> HeLa cell Whole Genome Sequence Data</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15CBB"/>
    <w:multiLevelType w:val="hybridMultilevel"/>
    <w:tmpl w:val="7428C5EA"/>
    <w:lvl w:ilvl="0" w:tplc="57804E34">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9B440948">
      <w:numFmt w:val="bullet"/>
      <w:lvlText w:val="•"/>
      <w:lvlJc w:val="left"/>
      <w:pPr>
        <w:ind w:left="1882" w:hanging="361"/>
      </w:pPr>
      <w:rPr>
        <w:rFonts w:hint="default"/>
        <w:lang w:val="en-US" w:eastAsia="en-US" w:bidi="ar-SA"/>
      </w:rPr>
    </w:lvl>
    <w:lvl w:ilvl="2" w:tplc="4FC2513E">
      <w:numFmt w:val="bullet"/>
      <w:lvlText w:val="•"/>
      <w:lvlJc w:val="left"/>
      <w:pPr>
        <w:ind w:left="2904" w:hanging="361"/>
      </w:pPr>
      <w:rPr>
        <w:rFonts w:hint="default"/>
        <w:lang w:val="en-US" w:eastAsia="en-US" w:bidi="ar-SA"/>
      </w:rPr>
    </w:lvl>
    <w:lvl w:ilvl="3" w:tplc="199605AC">
      <w:numFmt w:val="bullet"/>
      <w:lvlText w:val="•"/>
      <w:lvlJc w:val="left"/>
      <w:pPr>
        <w:ind w:left="3926" w:hanging="361"/>
      </w:pPr>
      <w:rPr>
        <w:rFonts w:hint="default"/>
        <w:lang w:val="en-US" w:eastAsia="en-US" w:bidi="ar-SA"/>
      </w:rPr>
    </w:lvl>
    <w:lvl w:ilvl="4" w:tplc="EA046038">
      <w:numFmt w:val="bullet"/>
      <w:lvlText w:val="•"/>
      <w:lvlJc w:val="left"/>
      <w:pPr>
        <w:ind w:left="4948" w:hanging="361"/>
      </w:pPr>
      <w:rPr>
        <w:rFonts w:hint="default"/>
        <w:lang w:val="en-US" w:eastAsia="en-US" w:bidi="ar-SA"/>
      </w:rPr>
    </w:lvl>
    <w:lvl w:ilvl="5" w:tplc="AAE4931E">
      <w:numFmt w:val="bullet"/>
      <w:lvlText w:val="•"/>
      <w:lvlJc w:val="left"/>
      <w:pPr>
        <w:ind w:left="5970" w:hanging="361"/>
      </w:pPr>
      <w:rPr>
        <w:rFonts w:hint="default"/>
        <w:lang w:val="en-US" w:eastAsia="en-US" w:bidi="ar-SA"/>
      </w:rPr>
    </w:lvl>
    <w:lvl w:ilvl="6" w:tplc="51189BC4">
      <w:numFmt w:val="bullet"/>
      <w:lvlText w:val="•"/>
      <w:lvlJc w:val="left"/>
      <w:pPr>
        <w:ind w:left="6992" w:hanging="361"/>
      </w:pPr>
      <w:rPr>
        <w:rFonts w:hint="default"/>
        <w:lang w:val="en-US" w:eastAsia="en-US" w:bidi="ar-SA"/>
      </w:rPr>
    </w:lvl>
    <w:lvl w:ilvl="7" w:tplc="24C4FCDC">
      <w:numFmt w:val="bullet"/>
      <w:lvlText w:val="•"/>
      <w:lvlJc w:val="left"/>
      <w:pPr>
        <w:ind w:left="8014" w:hanging="361"/>
      </w:pPr>
      <w:rPr>
        <w:rFonts w:hint="default"/>
        <w:lang w:val="en-US" w:eastAsia="en-US" w:bidi="ar-SA"/>
      </w:rPr>
    </w:lvl>
    <w:lvl w:ilvl="8" w:tplc="309C5758">
      <w:numFmt w:val="bullet"/>
      <w:lvlText w:val="•"/>
      <w:lvlJc w:val="left"/>
      <w:pPr>
        <w:ind w:left="9036" w:hanging="361"/>
      </w:pPr>
      <w:rPr>
        <w:rFonts w:hint="default"/>
        <w:lang w:val="en-US" w:eastAsia="en-US" w:bidi="ar-SA"/>
      </w:rPr>
    </w:lvl>
  </w:abstractNum>
  <w:abstractNum w:abstractNumId="1" w15:restartNumberingAfterBreak="0">
    <w:nsid w:val="256F3104"/>
    <w:multiLevelType w:val="hybridMultilevel"/>
    <w:tmpl w:val="B3184604"/>
    <w:lvl w:ilvl="0" w:tplc="9CBEB764">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17B4C188">
      <w:numFmt w:val="bullet"/>
      <w:lvlText w:val="•"/>
      <w:lvlJc w:val="left"/>
      <w:pPr>
        <w:ind w:left="1882" w:hanging="361"/>
      </w:pPr>
      <w:rPr>
        <w:rFonts w:hint="default"/>
        <w:lang w:val="en-US" w:eastAsia="en-US" w:bidi="ar-SA"/>
      </w:rPr>
    </w:lvl>
    <w:lvl w:ilvl="2" w:tplc="F0C0BB5A">
      <w:numFmt w:val="bullet"/>
      <w:lvlText w:val="•"/>
      <w:lvlJc w:val="left"/>
      <w:pPr>
        <w:ind w:left="2904" w:hanging="361"/>
      </w:pPr>
      <w:rPr>
        <w:rFonts w:hint="default"/>
        <w:lang w:val="en-US" w:eastAsia="en-US" w:bidi="ar-SA"/>
      </w:rPr>
    </w:lvl>
    <w:lvl w:ilvl="3" w:tplc="F6EEBA88">
      <w:numFmt w:val="bullet"/>
      <w:lvlText w:val="•"/>
      <w:lvlJc w:val="left"/>
      <w:pPr>
        <w:ind w:left="3926" w:hanging="361"/>
      </w:pPr>
      <w:rPr>
        <w:rFonts w:hint="default"/>
        <w:lang w:val="en-US" w:eastAsia="en-US" w:bidi="ar-SA"/>
      </w:rPr>
    </w:lvl>
    <w:lvl w:ilvl="4" w:tplc="81F86F6C">
      <w:numFmt w:val="bullet"/>
      <w:lvlText w:val="•"/>
      <w:lvlJc w:val="left"/>
      <w:pPr>
        <w:ind w:left="4948" w:hanging="361"/>
      </w:pPr>
      <w:rPr>
        <w:rFonts w:hint="default"/>
        <w:lang w:val="en-US" w:eastAsia="en-US" w:bidi="ar-SA"/>
      </w:rPr>
    </w:lvl>
    <w:lvl w:ilvl="5" w:tplc="07F6ECEC">
      <w:numFmt w:val="bullet"/>
      <w:lvlText w:val="•"/>
      <w:lvlJc w:val="left"/>
      <w:pPr>
        <w:ind w:left="5970" w:hanging="361"/>
      </w:pPr>
      <w:rPr>
        <w:rFonts w:hint="default"/>
        <w:lang w:val="en-US" w:eastAsia="en-US" w:bidi="ar-SA"/>
      </w:rPr>
    </w:lvl>
    <w:lvl w:ilvl="6" w:tplc="B002DCA4">
      <w:numFmt w:val="bullet"/>
      <w:lvlText w:val="•"/>
      <w:lvlJc w:val="left"/>
      <w:pPr>
        <w:ind w:left="6992" w:hanging="361"/>
      </w:pPr>
      <w:rPr>
        <w:rFonts w:hint="default"/>
        <w:lang w:val="en-US" w:eastAsia="en-US" w:bidi="ar-SA"/>
      </w:rPr>
    </w:lvl>
    <w:lvl w:ilvl="7" w:tplc="3A6EFD48">
      <w:numFmt w:val="bullet"/>
      <w:lvlText w:val="•"/>
      <w:lvlJc w:val="left"/>
      <w:pPr>
        <w:ind w:left="8014" w:hanging="361"/>
      </w:pPr>
      <w:rPr>
        <w:rFonts w:hint="default"/>
        <w:lang w:val="en-US" w:eastAsia="en-US" w:bidi="ar-SA"/>
      </w:rPr>
    </w:lvl>
    <w:lvl w:ilvl="8" w:tplc="7652976A">
      <w:numFmt w:val="bullet"/>
      <w:lvlText w:val="•"/>
      <w:lvlJc w:val="left"/>
      <w:pPr>
        <w:ind w:left="9036" w:hanging="361"/>
      </w:pPr>
      <w:rPr>
        <w:rFonts w:hint="default"/>
        <w:lang w:val="en-US" w:eastAsia="en-US" w:bidi="ar-SA"/>
      </w:rPr>
    </w:lvl>
  </w:abstractNum>
  <w:abstractNum w:abstractNumId="2" w15:restartNumberingAfterBreak="0">
    <w:nsid w:val="50BC55A8"/>
    <w:multiLevelType w:val="hybridMultilevel"/>
    <w:tmpl w:val="225C822C"/>
    <w:lvl w:ilvl="0" w:tplc="7812DFC4">
      <w:start w:val="1"/>
      <w:numFmt w:val="upperLetter"/>
      <w:lvlText w:val="%1."/>
      <w:lvlJc w:val="left"/>
      <w:pPr>
        <w:ind w:left="860" w:hanging="361"/>
        <w:jc w:val="left"/>
      </w:pPr>
      <w:rPr>
        <w:rFonts w:ascii="Arial" w:eastAsia="Arial" w:hAnsi="Arial" w:cs="Arial" w:hint="default"/>
        <w:b/>
        <w:bCs/>
        <w:i w:val="0"/>
        <w:iCs w:val="0"/>
        <w:spacing w:val="0"/>
        <w:w w:val="100"/>
        <w:sz w:val="22"/>
        <w:szCs w:val="22"/>
        <w:lang w:val="en-US" w:eastAsia="en-US" w:bidi="ar-SA"/>
      </w:rPr>
    </w:lvl>
    <w:lvl w:ilvl="1" w:tplc="F2E83934">
      <w:numFmt w:val="bullet"/>
      <w:lvlText w:val="•"/>
      <w:lvlJc w:val="left"/>
      <w:pPr>
        <w:ind w:left="1882" w:hanging="361"/>
      </w:pPr>
      <w:rPr>
        <w:rFonts w:hint="default"/>
        <w:lang w:val="en-US" w:eastAsia="en-US" w:bidi="ar-SA"/>
      </w:rPr>
    </w:lvl>
    <w:lvl w:ilvl="2" w:tplc="12FA54DC">
      <w:numFmt w:val="bullet"/>
      <w:lvlText w:val="•"/>
      <w:lvlJc w:val="left"/>
      <w:pPr>
        <w:ind w:left="2904" w:hanging="361"/>
      </w:pPr>
      <w:rPr>
        <w:rFonts w:hint="default"/>
        <w:lang w:val="en-US" w:eastAsia="en-US" w:bidi="ar-SA"/>
      </w:rPr>
    </w:lvl>
    <w:lvl w:ilvl="3" w:tplc="E35AA59E">
      <w:numFmt w:val="bullet"/>
      <w:lvlText w:val="•"/>
      <w:lvlJc w:val="left"/>
      <w:pPr>
        <w:ind w:left="3926" w:hanging="361"/>
      </w:pPr>
      <w:rPr>
        <w:rFonts w:hint="default"/>
        <w:lang w:val="en-US" w:eastAsia="en-US" w:bidi="ar-SA"/>
      </w:rPr>
    </w:lvl>
    <w:lvl w:ilvl="4" w:tplc="2C307412">
      <w:numFmt w:val="bullet"/>
      <w:lvlText w:val="•"/>
      <w:lvlJc w:val="left"/>
      <w:pPr>
        <w:ind w:left="4948" w:hanging="361"/>
      </w:pPr>
      <w:rPr>
        <w:rFonts w:hint="default"/>
        <w:lang w:val="en-US" w:eastAsia="en-US" w:bidi="ar-SA"/>
      </w:rPr>
    </w:lvl>
    <w:lvl w:ilvl="5" w:tplc="4000B954">
      <w:numFmt w:val="bullet"/>
      <w:lvlText w:val="•"/>
      <w:lvlJc w:val="left"/>
      <w:pPr>
        <w:ind w:left="5970" w:hanging="361"/>
      </w:pPr>
      <w:rPr>
        <w:rFonts w:hint="default"/>
        <w:lang w:val="en-US" w:eastAsia="en-US" w:bidi="ar-SA"/>
      </w:rPr>
    </w:lvl>
    <w:lvl w:ilvl="6" w:tplc="5A666E9A">
      <w:numFmt w:val="bullet"/>
      <w:lvlText w:val="•"/>
      <w:lvlJc w:val="left"/>
      <w:pPr>
        <w:ind w:left="6992" w:hanging="361"/>
      </w:pPr>
      <w:rPr>
        <w:rFonts w:hint="default"/>
        <w:lang w:val="en-US" w:eastAsia="en-US" w:bidi="ar-SA"/>
      </w:rPr>
    </w:lvl>
    <w:lvl w:ilvl="7" w:tplc="67EC42EE">
      <w:numFmt w:val="bullet"/>
      <w:lvlText w:val="•"/>
      <w:lvlJc w:val="left"/>
      <w:pPr>
        <w:ind w:left="8014" w:hanging="361"/>
      </w:pPr>
      <w:rPr>
        <w:rFonts w:hint="default"/>
        <w:lang w:val="en-US" w:eastAsia="en-US" w:bidi="ar-SA"/>
      </w:rPr>
    </w:lvl>
    <w:lvl w:ilvl="8" w:tplc="1BD8764C">
      <w:numFmt w:val="bullet"/>
      <w:lvlText w:val="•"/>
      <w:lvlJc w:val="left"/>
      <w:pPr>
        <w:ind w:left="9036" w:hanging="361"/>
      </w:pPr>
      <w:rPr>
        <w:rFonts w:hint="default"/>
        <w:lang w:val="en-US" w:eastAsia="en-US" w:bidi="ar-SA"/>
      </w:rPr>
    </w:lvl>
  </w:abstractNum>
  <w:num w:numId="1" w16cid:durableId="579101639">
    <w:abstractNumId w:val="0"/>
  </w:num>
  <w:num w:numId="2" w16cid:durableId="1049644117">
    <w:abstractNumId w:val="1"/>
  </w:num>
  <w:num w:numId="3" w16cid:durableId="1741439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E386393"/>
    <w:rsid w:val="00105A6C"/>
    <w:rsid w:val="00162410"/>
    <w:rsid w:val="001F3572"/>
    <w:rsid w:val="002101BD"/>
    <w:rsid w:val="0025136B"/>
    <w:rsid w:val="002625E2"/>
    <w:rsid w:val="002D5F84"/>
    <w:rsid w:val="00423419"/>
    <w:rsid w:val="0044487F"/>
    <w:rsid w:val="00564FE2"/>
    <w:rsid w:val="00580817"/>
    <w:rsid w:val="005B43CD"/>
    <w:rsid w:val="00722330"/>
    <w:rsid w:val="00756B43"/>
    <w:rsid w:val="00770BA8"/>
    <w:rsid w:val="007F7B5A"/>
    <w:rsid w:val="00842226"/>
    <w:rsid w:val="00890D87"/>
    <w:rsid w:val="00895833"/>
    <w:rsid w:val="008D73D3"/>
    <w:rsid w:val="00916F7E"/>
    <w:rsid w:val="009D114B"/>
    <w:rsid w:val="00A21D08"/>
    <w:rsid w:val="00A597FE"/>
    <w:rsid w:val="00B22585"/>
    <w:rsid w:val="00B935DB"/>
    <w:rsid w:val="00B94F94"/>
    <w:rsid w:val="00BB1ACA"/>
    <w:rsid w:val="00C116D9"/>
    <w:rsid w:val="00C152D0"/>
    <w:rsid w:val="00CA48F7"/>
    <w:rsid w:val="00CD55E0"/>
    <w:rsid w:val="00D30435"/>
    <w:rsid w:val="00D740F2"/>
    <w:rsid w:val="00DA1184"/>
    <w:rsid w:val="00DC6746"/>
    <w:rsid w:val="00E763C8"/>
    <w:rsid w:val="00EB0C89"/>
    <w:rsid w:val="00F86E64"/>
    <w:rsid w:val="00FC462F"/>
    <w:rsid w:val="0389CF7F"/>
    <w:rsid w:val="05B5C40A"/>
    <w:rsid w:val="06C877C2"/>
    <w:rsid w:val="078C0903"/>
    <w:rsid w:val="08806953"/>
    <w:rsid w:val="0A4C7A44"/>
    <w:rsid w:val="0E386393"/>
    <w:rsid w:val="0F0985B4"/>
    <w:rsid w:val="0F169740"/>
    <w:rsid w:val="0F774398"/>
    <w:rsid w:val="0FD24DD8"/>
    <w:rsid w:val="121F7711"/>
    <w:rsid w:val="12E2E7FD"/>
    <w:rsid w:val="16418F5C"/>
    <w:rsid w:val="17DD5FBD"/>
    <w:rsid w:val="180597E2"/>
    <w:rsid w:val="1A265837"/>
    <w:rsid w:val="1B2D11BB"/>
    <w:rsid w:val="1DB59BD9"/>
    <w:rsid w:val="1E548EC7"/>
    <w:rsid w:val="1E74D966"/>
    <w:rsid w:val="1FDEAED9"/>
    <w:rsid w:val="202D9641"/>
    <w:rsid w:val="20B7E2D8"/>
    <w:rsid w:val="21AC7A28"/>
    <w:rsid w:val="2248F90E"/>
    <w:rsid w:val="2327FFEA"/>
    <w:rsid w:val="2351A518"/>
    <w:rsid w:val="27477ABE"/>
    <w:rsid w:val="281BBBAC"/>
    <w:rsid w:val="28AF8F72"/>
    <w:rsid w:val="2997416E"/>
    <w:rsid w:val="2B65C50F"/>
    <w:rsid w:val="2BABDF17"/>
    <w:rsid w:val="2C5FF039"/>
    <w:rsid w:val="2CEF2CCF"/>
    <w:rsid w:val="2E8AFD30"/>
    <w:rsid w:val="2F1625D6"/>
    <w:rsid w:val="2F8C1EDE"/>
    <w:rsid w:val="3070A87C"/>
    <w:rsid w:val="317E29B8"/>
    <w:rsid w:val="327CEDE9"/>
    <w:rsid w:val="32D4F15F"/>
    <w:rsid w:val="35B48EAB"/>
    <w:rsid w:val="35B762F5"/>
    <w:rsid w:val="36BBBB9F"/>
    <w:rsid w:val="3AB1A4FC"/>
    <w:rsid w:val="3D4C2426"/>
    <w:rsid w:val="3E73A809"/>
    <w:rsid w:val="42422DC3"/>
    <w:rsid w:val="42F68675"/>
    <w:rsid w:val="4415B9B7"/>
    <w:rsid w:val="444F2CB3"/>
    <w:rsid w:val="454D0BA2"/>
    <w:rsid w:val="45B18A18"/>
    <w:rsid w:val="476682D6"/>
    <w:rsid w:val="48DE299C"/>
    <w:rsid w:val="492A8B5C"/>
    <w:rsid w:val="49C9FF09"/>
    <w:rsid w:val="4A84FB3B"/>
    <w:rsid w:val="4AC65BBD"/>
    <w:rsid w:val="4B7C676A"/>
    <w:rsid w:val="4C03C10D"/>
    <w:rsid w:val="4C15CA5E"/>
    <w:rsid w:val="4D0D7DA0"/>
    <w:rsid w:val="4DAE6AE5"/>
    <w:rsid w:val="4DE4D422"/>
    <w:rsid w:val="4E329D07"/>
    <w:rsid w:val="4E8B4DF9"/>
    <w:rsid w:val="4EA8960F"/>
    <w:rsid w:val="515ECBAC"/>
    <w:rsid w:val="5285DD0C"/>
    <w:rsid w:val="53AF9EA5"/>
    <w:rsid w:val="5433CB07"/>
    <w:rsid w:val="543E02CB"/>
    <w:rsid w:val="55B4251E"/>
    <w:rsid w:val="560F44EB"/>
    <w:rsid w:val="561CE6C4"/>
    <w:rsid w:val="59F915E6"/>
    <w:rsid w:val="5BC18593"/>
    <w:rsid w:val="5C53CC47"/>
    <w:rsid w:val="5E142049"/>
    <w:rsid w:val="61124E0F"/>
    <w:rsid w:val="649E3F06"/>
    <w:rsid w:val="64B55660"/>
    <w:rsid w:val="675474A3"/>
    <w:rsid w:val="684430BC"/>
    <w:rsid w:val="68493B65"/>
    <w:rsid w:val="687C74C8"/>
    <w:rsid w:val="698F2194"/>
    <w:rsid w:val="6A9C8A9B"/>
    <w:rsid w:val="6B2AF1F5"/>
    <w:rsid w:val="70930AA0"/>
    <w:rsid w:val="7223570E"/>
    <w:rsid w:val="7286F042"/>
    <w:rsid w:val="73277641"/>
    <w:rsid w:val="733481FD"/>
    <w:rsid w:val="73AB1D82"/>
    <w:rsid w:val="73D6B0B8"/>
    <w:rsid w:val="76F6C831"/>
    <w:rsid w:val="7771BB91"/>
    <w:rsid w:val="78929892"/>
    <w:rsid w:val="78ABC0EF"/>
    <w:rsid w:val="794E1779"/>
    <w:rsid w:val="7CDE26CB"/>
    <w:rsid w:val="7ECA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6D9CB"/>
  <w15:docId w15:val="{F8369FAA-8A6C-47E5-92C1-4BF55747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52" w:lineRule="exact"/>
      <w:ind w:left="86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1"/>
    <w:qFormat/>
    <w:pPr>
      <w:spacing w:line="252" w:lineRule="exact"/>
      <w:ind w:left="860" w:hanging="361"/>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78ABC0E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95833"/>
    <w:pPr>
      <w:widowControl/>
      <w:autoSpaceDE/>
      <w:autoSpaceDN/>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2625E2"/>
    <w:rPr>
      <w:b/>
      <w:bCs/>
    </w:rPr>
  </w:style>
  <w:style w:type="character" w:customStyle="1" w:styleId="CommentSubjectChar">
    <w:name w:val="Comment Subject Char"/>
    <w:basedOn w:val="CommentTextChar"/>
    <w:link w:val="CommentSubject"/>
    <w:uiPriority w:val="99"/>
    <w:semiHidden/>
    <w:rsid w:val="002625E2"/>
    <w:rPr>
      <w:rFonts w:ascii="Arial" w:eastAsia="Arial" w:hAnsi="Arial" w:cs="Arial"/>
      <w:b/>
      <w:bCs/>
      <w:sz w:val="20"/>
      <w:szCs w:val="20"/>
    </w:rPr>
  </w:style>
  <w:style w:type="character" w:styleId="Hyperlink">
    <w:name w:val="Hyperlink"/>
    <w:basedOn w:val="DefaultParagraphFont"/>
    <w:uiPriority w:val="99"/>
    <w:unhideWhenUsed/>
    <w:rsid w:val="00756B43"/>
    <w:rPr>
      <w:color w:val="0000FF" w:themeColor="hyperlink"/>
      <w:u w:val="single"/>
    </w:rPr>
  </w:style>
  <w:style w:type="character" w:styleId="UnresolvedMention">
    <w:name w:val="Unresolved Mention"/>
    <w:basedOn w:val="DefaultParagraphFont"/>
    <w:uiPriority w:val="99"/>
    <w:semiHidden/>
    <w:unhideWhenUsed/>
    <w:rsid w:val="00756B43"/>
    <w:rPr>
      <w:color w:val="605E5C"/>
      <w:shd w:val="clear" w:color="auto" w:fill="E1DFDD"/>
    </w:rPr>
  </w:style>
  <w:style w:type="paragraph" w:styleId="Header">
    <w:name w:val="header"/>
    <w:basedOn w:val="Normal"/>
    <w:link w:val="HeaderChar"/>
    <w:uiPriority w:val="99"/>
    <w:unhideWhenUsed/>
    <w:rsid w:val="00C116D9"/>
    <w:pPr>
      <w:tabs>
        <w:tab w:val="center" w:pos="4680"/>
        <w:tab w:val="right" w:pos="9360"/>
      </w:tabs>
    </w:pPr>
  </w:style>
  <w:style w:type="character" w:customStyle="1" w:styleId="HeaderChar">
    <w:name w:val="Header Char"/>
    <w:basedOn w:val="DefaultParagraphFont"/>
    <w:link w:val="Header"/>
    <w:uiPriority w:val="99"/>
    <w:rsid w:val="00C116D9"/>
    <w:rPr>
      <w:rFonts w:ascii="Arial" w:eastAsia="Arial" w:hAnsi="Arial" w:cs="Arial"/>
    </w:rPr>
  </w:style>
  <w:style w:type="paragraph" w:styleId="Footer">
    <w:name w:val="footer"/>
    <w:basedOn w:val="Normal"/>
    <w:link w:val="FooterChar"/>
    <w:uiPriority w:val="99"/>
    <w:unhideWhenUsed/>
    <w:rsid w:val="00C116D9"/>
    <w:pPr>
      <w:tabs>
        <w:tab w:val="center" w:pos="4680"/>
        <w:tab w:val="right" w:pos="9360"/>
      </w:tabs>
    </w:pPr>
  </w:style>
  <w:style w:type="character" w:customStyle="1" w:styleId="FooterChar">
    <w:name w:val="Footer Char"/>
    <w:basedOn w:val="DefaultParagraphFont"/>
    <w:link w:val="Footer"/>
    <w:uiPriority w:val="99"/>
    <w:rsid w:val="00C116D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haring.nih.gov/"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58c01a9-6703-49d4-9d93-5293dc7e323a" xsi:nil="true"/>
    <lcf76f155ced4ddcb4097134ff3c332f xmlns="9f2bc956-be92-4083-8797-dca0a41f923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4811CABECD9A4D8BB7BAD4A7FACD84" ma:contentTypeVersion="14" ma:contentTypeDescription="Create a new document." ma:contentTypeScope="" ma:versionID="6ec362c327879c676eef77d95039e0e8">
  <xsd:schema xmlns:xsd="http://www.w3.org/2001/XMLSchema" xmlns:xs="http://www.w3.org/2001/XMLSchema" xmlns:p="http://schemas.microsoft.com/office/2006/metadata/properties" xmlns:ns2="9f2bc956-be92-4083-8797-dca0a41f9237" xmlns:ns3="f58c01a9-6703-49d4-9d93-5293dc7e323a" targetNamespace="http://schemas.microsoft.com/office/2006/metadata/properties" ma:root="true" ma:fieldsID="4078d37feee0f479a754eaa16107a254" ns2:_="" ns3:_="">
    <xsd:import namespace="9f2bc956-be92-4083-8797-dca0a41f9237"/>
    <xsd:import namespace="f58c01a9-6703-49d4-9d93-5293dc7e32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bc956-be92-4083-8797-dca0a41f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c01a9-6703-49d4-9d93-5293dc7e32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fd1862-9857-4145-8550-c9bad5a9ca97}" ma:internalName="TaxCatchAll" ma:showField="CatchAllData" ma:web="f58c01a9-6703-49d4-9d93-5293dc7e3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5F249-887D-4A11-BA69-C4C5ABE2869E}">
  <ds:schemaRefs>
    <ds:schemaRef ds:uri="http://schemas.microsoft.com/office/2006/metadata/properties"/>
    <ds:schemaRef ds:uri="http://schemas.microsoft.com/office/infopath/2007/PartnerControls"/>
    <ds:schemaRef ds:uri="f58c01a9-6703-49d4-9d93-5293dc7e323a"/>
    <ds:schemaRef ds:uri="9f2bc956-be92-4083-8797-dca0a41f9237"/>
  </ds:schemaRefs>
</ds:datastoreItem>
</file>

<file path=customXml/itemProps2.xml><?xml version="1.0" encoding="utf-8"?>
<ds:datastoreItem xmlns:ds="http://schemas.openxmlformats.org/officeDocument/2006/customXml" ds:itemID="{AC3D0A00-A7A7-484C-A5C1-90956E8C9FEB}">
  <ds:schemaRefs>
    <ds:schemaRef ds:uri="http://schemas.microsoft.com/sharepoint/v3/contenttype/forms"/>
  </ds:schemaRefs>
</ds:datastoreItem>
</file>

<file path=customXml/itemProps3.xml><?xml version="1.0" encoding="utf-8"?>
<ds:datastoreItem xmlns:ds="http://schemas.openxmlformats.org/officeDocument/2006/customXml" ds:itemID="{BD8ED379-ED0D-4C32-8FB9-53138F268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bc956-be92-4083-8797-dca0a41f9237"/>
    <ds:schemaRef ds:uri="f58c01a9-6703-49d4-9d93-5293dc7e3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9</TotalTime>
  <Pages>2</Pages>
  <Words>724</Words>
  <Characters>4794</Characters>
  <Application>Microsoft Office Word</Application>
  <DocSecurity>0</DocSecurity>
  <Lines>104</Lines>
  <Paragraphs>40</Paragraphs>
  <ScaleCrop>false</ScaleCrop>
  <HeadingPairs>
    <vt:vector size="2" baseType="variant">
      <vt:variant>
        <vt:lpstr>Title</vt:lpstr>
      </vt:variant>
      <vt:variant>
        <vt:i4>1</vt:i4>
      </vt:variant>
    </vt:vector>
  </HeadingPairs>
  <TitlesOfParts>
    <vt:vector size="1" baseType="lpstr">
      <vt:lpstr>OMB No. 0925-0001 and 0925-0002, DMS Plan Format Page</vt:lpstr>
    </vt:vector>
  </TitlesOfParts>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Jacobs, Cheryl (NIH/OD) [E]</cp:lastModifiedBy>
  <cp:revision>3</cp:revision>
  <dcterms:created xsi:type="dcterms:W3CDTF">2023-12-14T23:34:00Z</dcterms:created>
  <dcterms:modified xsi:type="dcterms:W3CDTF">2023-12-14T23:37:00Z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2022-09-12T00:00:00Z</vt:filetime>
  </property>
  <property fmtid="{D5CDD505-2E9C-101B-9397-08002B2CF9AE}" pid="5" name="Producer">
    <vt:lpwstr>Microsoft® Word for Microsoft 365</vt:lpwstr>
  </property>
  <property fmtid="{D5CDD505-2E9C-101B-9397-08002B2CF9AE}" pid="6" name="ContentTypeId">
    <vt:lpwstr>0x010100794811CABECD9A4D8BB7BAD4A7FACD84</vt:lpwstr>
  </property>
  <property fmtid="{D5CDD505-2E9C-101B-9397-08002B2CF9AE}" pid="7" name="MediaServiceImageTags">
    <vt:lpwstr/>
  </property>
</Properties>
</file>