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950B" w14:textId="21C3160F" w:rsidR="003641E2" w:rsidRDefault="004001E2" w:rsidP="003641E2">
      <w:pPr>
        <w:jc w:val="both"/>
        <w:rPr>
          <w:b/>
          <w:bCs/>
        </w:rPr>
      </w:pPr>
      <w:bookmarkStart w:id="0" w:name="_GoBack"/>
      <w:bookmarkEnd w:id="0"/>
      <w:r>
        <w:rPr>
          <w:b/>
          <w:bCs/>
        </w:rPr>
        <w:t xml:space="preserve">June </w:t>
      </w:r>
      <w:r w:rsidR="008C5677">
        <w:rPr>
          <w:b/>
          <w:bCs/>
        </w:rPr>
        <w:t>25</w:t>
      </w:r>
      <w:r>
        <w:rPr>
          <w:b/>
          <w:bCs/>
        </w:rPr>
        <w:t>, 2020</w:t>
      </w:r>
    </w:p>
    <w:p w14:paraId="54D75FC5" w14:textId="77777777" w:rsidR="004001E2" w:rsidRDefault="004001E2" w:rsidP="003641E2">
      <w:pPr>
        <w:jc w:val="both"/>
        <w:rPr>
          <w:b/>
          <w:bCs/>
        </w:rPr>
      </w:pPr>
    </w:p>
    <w:p w14:paraId="5031EF29" w14:textId="6ADCDD55" w:rsidR="003641E2" w:rsidRPr="003641E2" w:rsidRDefault="00074378" w:rsidP="00E90401">
      <w:pPr>
        <w:pBdr>
          <w:bottom w:val="single" w:sz="4" w:space="1" w:color="auto"/>
        </w:pBdr>
        <w:jc w:val="both"/>
        <w:rPr>
          <w:b/>
          <w:bCs/>
        </w:rPr>
      </w:pPr>
      <w:r>
        <w:rPr>
          <w:b/>
          <w:bCs/>
        </w:rPr>
        <w:t>NIH</w:t>
      </w:r>
      <w:r w:rsidR="00E33FB6">
        <w:rPr>
          <w:b/>
          <w:bCs/>
        </w:rPr>
        <w:t xml:space="preserve"> </w:t>
      </w:r>
      <w:r w:rsidR="00E70D01" w:rsidRPr="00110D4D">
        <w:rPr>
          <w:b/>
          <w:bCs/>
        </w:rPr>
        <w:t>Implementation of</w:t>
      </w:r>
      <w:bookmarkStart w:id="1" w:name="_Hlk35530545"/>
      <w:r w:rsidR="003641E2">
        <w:rPr>
          <w:b/>
          <w:bCs/>
        </w:rPr>
        <w:t xml:space="preserve"> OMB Memorandum </w:t>
      </w:r>
      <w:hyperlink r:id="rId11" w:history="1">
        <w:r w:rsidR="003641E2" w:rsidRPr="00E951EF">
          <w:rPr>
            <w:rStyle w:val="Hyperlink"/>
            <w:b/>
            <w:bCs/>
          </w:rPr>
          <w:t>M-20-26</w:t>
        </w:r>
      </w:hyperlink>
      <w:r w:rsidR="003641E2">
        <w:rPr>
          <w:b/>
          <w:bCs/>
        </w:rPr>
        <w:t>, “</w:t>
      </w:r>
      <w:r w:rsidR="003641E2" w:rsidRPr="008C0590">
        <w:rPr>
          <w:b/>
          <w:bCs/>
          <w:i/>
          <w:iCs/>
        </w:rPr>
        <w:t>Extension of Administrative Relief for Recipients and Applicants of Federal Financial Assistance Directly Impacted by the Novel Coronavirus (COVID-19) due to Loss of Operations</w:t>
      </w:r>
      <w:r w:rsidR="003641E2">
        <w:rPr>
          <w:b/>
          <w:bCs/>
        </w:rPr>
        <w:t>”</w:t>
      </w:r>
      <w:r w:rsidR="00D66904">
        <w:rPr>
          <w:b/>
          <w:bCs/>
        </w:rPr>
        <w:t xml:space="preserve"> dated June 18, 2020</w:t>
      </w:r>
    </w:p>
    <w:bookmarkEnd w:id="1"/>
    <w:p w14:paraId="7CF33F5E" w14:textId="77777777" w:rsidR="00FE438A" w:rsidRDefault="00FE438A" w:rsidP="00E90401">
      <w:pPr>
        <w:ind w:firstLine="720"/>
        <w:jc w:val="both"/>
        <w:rPr>
          <w:b/>
          <w:i/>
          <w:iCs/>
        </w:rPr>
      </w:pPr>
    </w:p>
    <w:p w14:paraId="18B704BD" w14:textId="1B099EE4" w:rsidR="00D66904" w:rsidRPr="00D66904" w:rsidRDefault="0041096D" w:rsidP="00D66904">
      <w:pPr>
        <w:jc w:val="both"/>
        <w:rPr>
          <w:bCs/>
        </w:rPr>
      </w:pPr>
      <w:r w:rsidRPr="0041096D">
        <w:rPr>
          <w:bCs/>
        </w:rPr>
        <w:t>The purpose of this</w:t>
      </w:r>
      <w:r w:rsidR="00DB3CF1">
        <w:rPr>
          <w:bCs/>
        </w:rPr>
        <w:t xml:space="preserve"> guidance </w:t>
      </w:r>
      <w:r w:rsidR="00060802">
        <w:rPr>
          <w:bCs/>
        </w:rPr>
        <w:t>i</w:t>
      </w:r>
      <w:r w:rsidRPr="0041096D">
        <w:rPr>
          <w:bCs/>
        </w:rPr>
        <w:t xml:space="preserve">s to </w:t>
      </w:r>
      <w:r w:rsidR="00AA28C9">
        <w:rPr>
          <w:bCs/>
        </w:rPr>
        <w:t xml:space="preserve">implement </w:t>
      </w:r>
      <w:r w:rsidR="003641E2">
        <w:rPr>
          <w:bCs/>
        </w:rPr>
        <w:t xml:space="preserve">updated </w:t>
      </w:r>
      <w:r w:rsidR="004001E2">
        <w:rPr>
          <w:bCs/>
        </w:rPr>
        <w:t xml:space="preserve">guidance </w:t>
      </w:r>
      <w:r w:rsidR="00AA28C9">
        <w:rPr>
          <w:bCs/>
        </w:rPr>
        <w:t xml:space="preserve">authorized by Office of Management and Budget </w:t>
      </w:r>
      <w:r w:rsidR="00660A74">
        <w:rPr>
          <w:bCs/>
        </w:rPr>
        <w:t xml:space="preserve">(OMB) </w:t>
      </w:r>
      <w:r w:rsidR="000235BE">
        <w:rPr>
          <w:bCs/>
        </w:rPr>
        <w:t xml:space="preserve">Memorandum </w:t>
      </w:r>
      <w:r w:rsidR="001D4515" w:rsidRPr="001D4515">
        <w:rPr>
          <w:bCs/>
        </w:rPr>
        <w:t>M-20-26</w:t>
      </w:r>
      <w:r w:rsidR="001D4515" w:rsidRPr="00E90401">
        <w:rPr>
          <w:rStyle w:val="FootnoteReference"/>
          <w:bCs/>
        </w:rPr>
        <w:footnoteReference w:id="1"/>
      </w:r>
      <w:r w:rsidR="001D4515" w:rsidRPr="00E90401">
        <w:rPr>
          <w:bCs/>
        </w:rPr>
        <w:t xml:space="preserve"> </w:t>
      </w:r>
      <w:r w:rsidR="001D4515" w:rsidRPr="000814DC">
        <w:rPr>
          <w:bCs/>
        </w:rPr>
        <w:t>for recipients affected by COVID-19</w:t>
      </w:r>
      <w:r w:rsidR="0087389B">
        <w:rPr>
          <w:bCs/>
        </w:rPr>
        <w:t xml:space="preserve">. This guidance </w:t>
      </w:r>
      <w:r w:rsidR="00E33FB6">
        <w:rPr>
          <w:bCs/>
        </w:rPr>
        <w:t xml:space="preserve">extends two of the short-term </w:t>
      </w:r>
      <w:r w:rsidR="0087389B">
        <w:rPr>
          <w:bCs/>
        </w:rPr>
        <w:t>administrative relief</w:t>
      </w:r>
      <w:r w:rsidR="001D4515" w:rsidRPr="000814DC">
        <w:rPr>
          <w:bCs/>
        </w:rPr>
        <w:t xml:space="preserve"> </w:t>
      </w:r>
      <w:r w:rsidR="00AA28C9">
        <w:rPr>
          <w:bCs/>
        </w:rPr>
        <w:t>from specific</w:t>
      </w:r>
      <w:r w:rsidR="00E33FB6">
        <w:rPr>
          <w:bCs/>
        </w:rPr>
        <w:t xml:space="preserve"> requirements</w:t>
      </w:r>
      <w:r w:rsidR="00AA28C9">
        <w:rPr>
          <w:bCs/>
        </w:rPr>
        <w:t xml:space="preserve"> </w:t>
      </w:r>
      <w:r w:rsidR="00261C96">
        <w:rPr>
          <w:bCs/>
        </w:rPr>
        <w:t xml:space="preserve">contained in </w:t>
      </w:r>
      <w:r w:rsidR="00060802" w:rsidRPr="00060802">
        <w:rPr>
          <w:bCs/>
        </w:rPr>
        <w:t xml:space="preserve">2 CFR Part 200, </w:t>
      </w:r>
      <w:r w:rsidR="00060802" w:rsidRPr="00060802">
        <w:rPr>
          <w:bCs/>
          <w:i/>
        </w:rPr>
        <w:t xml:space="preserve">Uniform Administrative Requirements, Cost </w:t>
      </w:r>
      <w:r w:rsidR="000235BE">
        <w:rPr>
          <w:bCs/>
          <w:i/>
        </w:rPr>
        <w:t>P</w:t>
      </w:r>
      <w:r w:rsidR="00060802" w:rsidRPr="00060802">
        <w:rPr>
          <w:bCs/>
          <w:i/>
        </w:rPr>
        <w:t>rinciples and Audit Requirements for Federal Awards</w:t>
      </w:r>
      <w:r w:rsidR="00060802" w:rsidRPr="00060802">
        <w:rPr>
          <w:bCs/>
        </w:rPr>
        <w:t xml:space="preserve">, </w:t>
      </w:r>
      <w:r w:rsidR="00AA28C9" w:rsidRPr="00AA28C9">
        <w:rPr>
          <w:bCs/>
        </w:rPr>
        <w:t xml:space="preserve">without </w:t>
      </w:r>
      <w:r w:rsidR="00AA28C9" w:rsidRPr="0041096D">
        <w:rPr>
          <w:bCs/>
        </w:rPr>
        <w:t>compromising accountability requirements</w:t>
      </w:r>
      <w:r w:rsidR="001D4515">
        <w:rPr>
          <w:bCs/>
        </w:rPr>
        <w:t xml:space="preserve">. </w:t>
      </w:r>
      <w:r w:rsidR="00E33FB6">
        <w:rPr>
          <w:bCs/>
        </w:rPr>
        <w:t xml:space="preserve">These extensions, that go beyond what OMB previously outlined in </w:t>
      </w:r>
      <w:r w:rsidR="0088668D">
        <w:rPr>
          <w:bCs/>
        </w:rPr>
        <w:t xml:space="preserve">Memorandum </w:t>
      </w:r>
      <w:r w:rsidR="00A87DCA" w:rsidRPr="00A87DCA">
        <w:rPr>
          <w:bCs/>
        </w:rPr>
        <w:t>M-20-17</w:t>
      </w:r>
      <w:r w:rsidR="00E33FB6">
        <w:rPr>
          <w:bCs/>
        </w:rPr>
        <w:t xml:space="preserve">, specifically pertain to </w:t>
      </w:r>
      <w:r w:rsidR="0088668D">
        <w:rPr>
          <w:bCs/>
        </w:rPr>
        <w:t xml:space="preserve">the </w:t>
      </w:r>
      <w:r w:rsidR="00E33FB6">
        <w:rPr>
          <w:bCs/>
        </w:rPr>
        <w:t>allowability of salaries and other project activities and s</w:t>
      </w:r>
      <w:r w:rsidR="00E33FB6" w:rsidRPr="00646595">
        <w:rPr>
          <w:bCs/>
        </w:rPr>
        <w:t xml:space="preserve">ingle </w:t>
      </w:r>
      <w:r w:rsidR="00E33FB6">
        <w:rPr>
          <w:bCs/>
        </w:rPr>
        <w:t>a</w:t>
      </w:r>
      <w:r w:rsidR="00E33FB6" w:rsidRPr="00646595">
        <w:rPr>
          <w:bCs/>
        </w:rPr>
        <w:t xml:space="preserve">udit </w:t>
      </w:r>
      <w:r w:rsidR="00E33FB6">
        <w:rPr>
          <w:bCs/>
        </w:rPr>
        <w:t>s</w:t>
      </w:r>
      <w:r w:rsidR="00E33FB6" w:rsidRPr="00646595">
        <w:rPr>
          <w:bCs/>
        </w:rPr>
        <w:t>ubmission</w:t>
      </w:r>
      <w:r w:rsidR="0088668D">
        <w:rPr>
          <w:bCs/>
        </w:rPr>
        <w:t xml:space="preserve">. </w:t>
      </w:r>
      <w:r w:rsidR="00E33FB6">
        <w:rPr>
          <w:bCs/>
        </w:rPr>
        <w:t xml:space="preserve">In order to support charges against </w:t>
      </w:r>
      <w:r w:rsidR="00074378">
        <w:rPr>
          <w:bCs/>
        </w:rPr>
        <w:t>NIH</w:t>
      </w:r>
      <w:r w:rsidR="00E33FB6">
        <w:rPr>
          <w:bCs/>
        </w:rPr>
        <w:t xml:space="preserve"> awards, r</w:t>
      </w:r>
      <w:r w:rsidR="00D66904">
        <w:rPr>
          <w:bCs/>
        </w:rPr>
        <w:t xml:space="preserve">ecipients are reminded of their responsibility </w:t>
      </w:r>
      <w:r w:rsidR="00D66904" w:rsidRPr="00D66904">
        <w:rPr>
          <w:bCs/>
        </w:rPr>
        <w:t xml:space="preserve">to maintain appropriate records and documentation to support the charges </w:t>
      </w:r>
      <w:r w:rsidR="00E33FB6">
        <w:rPr>
          <w:bCs/>
        </w:rPr>
        <w:t>in accordance with institutional policies</w:t>
      </w:r>
      <w:r w:rsidR="0088668D">
        <w:rPr>
          <w:bCs/>
        </w:rPr>
        <w:t xml:space="preserve"> and procedures.</w:t>
      </w:r>
    </w:p>
    <w:p w14:paraId="6BF1D0AD" w14:textId="77777777" w:rsidR="001D4515" w:rsidRDefault="001D4515" w:rsidP="00D66904">
      <w:pPr>
        <w:jc w:val="both"/>
        <w:rPr>
          <w:bCs/>
        </w:rPr>
      </w:pPr>
    </w:p>
    <w:p w14:paraId="50E790EA" w14:textId="2C4FF918" w:rsidR="008C0590" w:rsidRDefault="008C0590" w:rsidP="00D66904">
      <w:pPr>
        <w:jc w:val="both"/>
        <w:rPr>
          <w:bCs/>
        </w:rPr>
      </w:pPr>
      <w:r>
        <w:rPr>
          <w:bCs/>
        </w:rPr>
        <w:t xml:space="preserve">The </w:t>
      </w:r>
      <w:r w:rsidR="00E33FB6">
        <w:rPr>
          <w:bCs/>
        </w:rPr>
        <w:t xml:space="preserve">extended </w:t>
      </w:r>
      <w:r>
        <w:rPr>
          <w:bCs/>
        </w:rPr>
        <w:t xml:space="preserve">flexibilities authorized by OMB in M-20-26 are outlined below.  </w:t>
      </w:r>
    </w:p>
    <w:p w14:paraId="020E49B7" w14:textId="77777777" w:rsidR="008C0590" w:rsidRDefault="008C0590" w:rsidP="00D66904">
      <w:pPr>
        <w:jc w:val="both"/>
        <w:rPr>
          <w:bCs/>
        </w:rPr>
      </w:pPr>
    </w:p>
    <w:p w14:paraId="0474F5DF" w14:textId="7277DF0D" w:rsidR="004001E2" w:rsidRDefault="004001E2" w:rsidP="008C0590">
      <w:pPr>
        <w:ind w:left="720" w:hanging="720"/>
        <w:jc w:val="both"/>
        <w:rPr>
          <w:bCs/>
        </w:rPr>
      </w:pPr>
      <w:r w:rsidRPr="004001E2">
        <w:rPr>
          <w:b/>
          <w:bCs/>
        </w:rPr>
        <w:t xml:space="preserve">1. </w:t>
      </w:r>
      <w:r w:rsidR="005F38C2">
        <w:rPr>
          <w:b/>
          <w:bCs/>
        </w:rPr>
        <w:tab/>
      </w:r>
      <w:r w:rsidRPr="004001E2">
        <w:rPr>
          <w:b/>
          <w:bCs/>
        </w:rPr>
        <w:t xml:space="preserve">Allowability of Salaries and Other Project Activities </w:t>
      </w:r>
      <w:r w:rsidRPr="004001E2">
        <w:rPr>
          <w:bCs/>
        </w:rPr>
        <w:t xml:space="preserve">(2 CFR § 200.403, 2 CFR § 200.404, 2 CFR § 200.405) </w:t>
      </w:r>
    </w:p>
    <w:p w14:paraId="32CAFBB7" w14:textId="77777777" w:rsidR="001D4515" w:rsidRDefault="001D4515" w:rsidP="004001E2">
      <w:pPr>
        <w:jc w:val="both"/>
        <w:rPr>
          <w:bCs/>
        </w:rPr>
      </w:pPr>
    </w:p>
    <w:p w14:paraId="08B4B2A2" w14:textId="103D2731" w:rsidR="00B46A27" w:rsidRDefault="004001E2" w:rsidP="004001E2">
      <w:pPr>
        <w:jc w:val="both"/>
        <w:rPr>
          <w:bCs/>
        </w:rPr>
      </w:pPr>
      <w:r>
        <w:rPr>
          <w:bCs/>
        </w:rPr>
        <w:t>R</w:t>
      </w:r>
      <w:r w:rsidRPr="004001E2">
        <w:rPr>
          <w:bCs/>
        </w:rPr>
        <w:t xml:space="preserve">ecipients </w:t>
      </w:r>
      <w:r>
        <w:rPr>
          <w:bCs/>
        </w:rPr>
        <w:t xml:space="preserve">are authorized </w:t>
      </w:r>
      <w:r w:rsidRPr="004001E2">
        <w:rPr>
          <w:bCs/>
        </w:rPr>
        <w:t xml:space="preserve">to continue to charge salaries and benefits to active </w:t>
      </w:r>
      <w:r w:rsidR="00074378">
        <w:rPr>
          <w:bCs/>
        </w:rPr>
        <w:t>NIH</w:t>
      </w:r>
      <w:r w:rsidR="00E33FB6">
        <w:rPr>
          <w:bCs/>
        </w:rPr>
        <w:t xml:space="preserve"> </w:t>
      </w:r>
      <w:r w:rsidRPr="004001E2">
        <w:rPr>
          <w:bCs/>
        </w:rPr>
        <w:t xml:space="preserve">awards consistent with the recipients' policy of paying salaries (under unexpected or extraordinary circumstances) from all funding sources, Federal and non-Federal. </w:t>
      </w:r>
      <w:r>
        <w:rPr>
          <w:bCs/>
        </w:rPr>
        <w:t xml:space="preserve"> </w:t>
      </w:r>
      <w:r w:rsidR="00074378">
        <w:rPr>
          <w:bCs/>
        </w:rPr>
        <w:t>NIH</w:t>
      </w:r>
      <w:r>
        <w:rPr>
          <w:bCs/>
        </w:rPr>
        <w:t xml:space="preserve"> </w:t>
      </w:r>
      <w:r w:rsidR="006514CD">
        <w:rPr>
          <w:bCs/>
        </w:rPr>
        <w:t xml:space="preserve">continues to </w:t>
      </w:r>
      <w:r>
        <w:rPr>
          <w:bCs/>
        </w:rPr>
        <w:t xml:space="preserve">authorize recipients to charge </w:t>
      </w:r>
      <w:r w:rsidRPr="004001E2">
        <w:rPr>
          <w:bCs/>
        </w:rPr>
        <w:t xml:space="preserve">other costs to </w:t>
      </w:r>
      <w:r w:rsidR="00074378">
        <w:rPr>
          <w:bCs/>
        </w:rPr>
        <w:t>NIH</w:t>
      </w:r>
      <w:r>
        <w:rPr>
          <w:bCs/>
        </w:rPr>
        <w:t xml:space="preserve"> awards n</w:t>
      </w:r>
      <w:r w:rsidRPr="004001E2">
        <w:rPr>
          <w:bCs/>
        </w:rPr>
        <w:t xml:space="preserve">ecessary to resume activities supported by the award, consistent with applicable Federal cost principles and the benefit to the project. </w:t>
      </w:r>
      <w:r>
        <w:rPr>
          <w:bCs/>
        </w:rPr>
        <w:t xml:space="preserve"> </w:t>
      </w:r>
      <w:r w:rsidR="00B46A27" w:rsidRPr="00B353CA">
        <w:rPr>
          <w:bCs/>
        </w:rPr>
        <w:t xml:space="preserve">Recipients must not assume that supplemental funding will be available should the charging of such costs or other fees result in a shortage of funds to eventually carry out the </w:t>
      </w:r>
      <w:r w:rsidR="0087389B" w:rsidRPr="00B353CA">
        <w:rPr>
          <w:bCs/>
        </w:rPr>
        <w:t xml:space="preserve">original goals of the </w:t>
      </w:r>
      <w:r w:rsidR="00B46A27" w:rsidRPr="00B353CA">
        <w:rPr>
          <w:bCs/>
        </w:rPr>
        <w:t xml:space="preserve">project.  </w:t>
      </w:r>
    </w:p>
    <w:p w14:paraId="02B11C61" w14:textId="77777777" w:rsidR="00B46A27" w:rsidRDefault="00B46A27" w:rsidP="004001E2">
      <w:pPr>
        <w:jc w:val="both"/>
        <w:rPr>
          <w:bCs/>
        </w:rPr>
      </w:pPr>
    </w:p>
    <w:p w14:paraId="78DA868B" w14:textId="00FE0563" w:rsidR="00D66904" w:rsidRDefault="00074378" w:rsidP="004001E2">
      <w:pPr>
        <w:jc w:val="both"/>
        <w:rPr>
          <w:bCs/>
        </w:rPr>
      </w:pPr>
      <w:r>
        <w:rPr>
          <w:bCs/>
        </w:rPr>
        <w:t>NIH</w:t>
      </w:r>
      <w:r w:rsidR="007F0FB5">
        <w:rPr>
          <w:bCs/>
        </w:rPr>
        <w:t xml:space="preserve"> </w:t>
      </w:r>
      <w:r w:rsidR="004001E2" w:rsidRPr="004001E2">
        <w:rPr>
          <w:bCs/>
        </w:rPr>
        <w:t xml:space="preserve">may also evaluate the </w:t>
      </w:r>
      <w:r w:rsidR="001D4515">
        <w:rPr>
          <w:bCs/>
        </w:rPr>
        <w:t xml:space="preserve">recipient’s </w:t>
      </w:r>
      <w:r w:rsidR="004001E2" w:rsidRPr="004001E2">
        <w:rPr>
          <w:bCs/>
        </w:rPr>
        <w:t>ability to resume the project activity in the future and the appropriateness of future funding, as done under normal circumstances</w:t>
      </w:r>
      <w:r w:rsidR="004001E2">
        <w:rPr>
          <w:bCs/>
        </w:rPr>
        <w:t xml:space="preserve"> </w:t>
      </w:r>
      <w:r w:rsidR="004001E2" w:rsidRPr="004001E2">
        <w:rPr>
          <w:bCs/>
        </w:rPr>
        <w:t xml:space="preserve">based on subsequent </w:t>
      </w:r>
      <w:r w:rsidR="00D66904">
        <w:rPr>
          <w:bCs/>
        </w:rPr>
        <w:t xml:space="preserve">annual project </w:t>
      </w:r>
      <w:r w:rsidR="004001E2" w:rsidRPr="004001E2">
        <w:rPr>
          <w:bCs/>
        </w:rPr>
        <w:t xml:space="preserve">reports and other communications with the </w:t>
      </w:r>
      <w:r w:rsidR="001D4515">
        <w:rPr>
          <w:bCs/>
        </w:rPr>
        <w:t>recipient</w:t>
      </w:r>
      <w:r w:rsidR="00D66904">
        <w:rPr>
          <w:bCs/>
        </w:rPr>
        <w:t>.</w:t>
      </w:r>
      <w:r w:rsidR="004001E2" w:rsidRPr="004001E2">
        <w:rPr>
          <w:bCs/>
        </w:rPr>
        <w:t xml:space="preserve"> </w:t>
      </w:r>
    </w:p>
    <w:p w14:paraId="26AFD923" w14:textId="77777777" w:rsidR="001D4515" w:rsidRDefault="001D4515" w:rsidP="004001E2">
      <w:pPr>
        <w:jc w:val="both"/>
        <w:rPr>
          <w:bCs/>
        </w:rPr>
      </w:pPr>
    </w:p>
    <w:p w14:paraId="1691B851" w14:textId="31E87719" w:rsidR="00D66904" w:rsidRDefault="004001E2" w:rsidP="004001E2">
      <w:pPr>
        <w:jc w:val="both"/>
        <w:rPr>
          <w:bCs/>
        </w:rPr>
      </w:pPr>
      <w:r w:rsidRPr="004001E2">
        <w:rPr>
          <w:bCs/>
        </w:rPr>
        <w:t xml:space="preserve">Under this flexibility, payroll costs paid with the Paycheck Protection Program (PPP) loans or any other Federal </w:t>
      </w:r>
      <w:r w:rsidR="00F95639">
        <w:rPr>
          <w:bCs/>
        </w:rPr>
        <w:t>Coronavirus Aid, Relief, and Economic Security (</w:t>
      </w:r>
      <w:r w:rsidRPr="004001E2">
        <w:rPr>
          <w:bCs/>
        </w:rPr>
        <w:t>CARES</w:t>
      </w:r>
      <w:r w:rsidR="00F95639">
        <w:rPr>
          <w:bCs/>
        </w:rPr>
        <w:t>)</w:t>
      </w:r>
      <w:r w:rsidRPr="004001E2">
        <w:rPr>
          <w:bCs/>
        </w:rPr>
        <w:t xml:space="preserve"> Act programs must not be also charged to current </w:t>
      </w:r>
      <w:r w:rsidR="00074378">
        <w:rPr>
          <w:bCs/>
        </w:rPr>
        <w:t>NIH</w:t>
      </w:r>
      <w:r w:rsidR="00D66904">
        <w:rPr>
          <w:bCs/>
        </w:rPr>
        <w:t xml:space="preserve"> </w:t>
      </w:r>
      <w:r w:rsidRPr="004001E2">
        <w:rPr>
          <w:bCs/>
        </w:rPr>
        <w:t xml:space="preserve">awards as it would result in the Federal government paying for the same expenditures twice. </w:t>
      </w:r>
      <w:r w:rsidR="001D4515">
        <w:rPr>
          <w:bCs/>
        </w:rPr>
        <w:t xml:space="preserve"> </w:t>
      </w:r>
      <w:r w:rsidR="00D66904">
        <w:rPr>
          <w:bCs/>
        </w:rPr>
        <w:t>R</w:t>
      </w:r>
      <w:r w:rsidRPr="004001E2">
        <w:rPr>
          <w:bCs/>
        </w:rPr>
        <w:t xml:space="preserve">ecipients </w:t>
      </w:r>
      <w:r w:rsidR="00D66904">
        <w:rPr>
          <w:bCs/>
        </w:rPr>
        <w:t xml:space="preserve">are reminded of their responsibility </w:t>
      </w:r>
      <w:r w:rsidRPr="004001E2">
        <w:rPr>
          <w:bCs/>
        </w:rPr>
        <w:t>to maintain appropriate records and cost documentation</w:t>
      </w:r>
      <w:r w:rsidR="00F95639">
        <w:rPr>
          <w:bCs/>
        </w:rPr>
        <w:t>;</w:t>
      </w:r>
      <w:r w:rsidRPr="004001E2">
        <w:rPr>
          <w:bCs/>
        </w:rPr>
        <w:t xml:space="preserve"> as required by 2 CFR § 200.302 </w:t>
      </w:r>
      <w:r w:rsidRPr="004001E2">
        <w:rPr>
          <w:bCs/>
          <w:i/>
          <w:iCs/>
        </w:rPr>
        <w:t>-</w:t>
      </w:r>
      <w:r w:rsidR="00D66904">
        <w:rPr>
          <w:bCs/>
          <w:i/>
          <w:iCs/>
        </w:rPr>
        <w:t xml:space="preserve"> </w:t>
      </w:r>
      <w:r w:rsidRPr="004001E2">
        <w:rPr>
          <w:bCs/>
          <w:i/>
          <w:iCs/>
        </w:rPr>
        <w:t xml:space="preserve">Financial management </w:t>
      </w:r>
      <w:r w:rsidRPr="004001E2">
        <w:rPr>
          <w:bCs/>
        </w:rPr>
        <w:t xml:space="preserve">and 2 CFR § 200.333 - </w:t>
      </w:r>
      <w:r w:rsidRPr="004001E2">
        <w:rPr>
          <w:bCs/>
          <w:i/>
          <w:iCs/>
        </w:rPr>
        <w:t>Retention requirement of records</w:t>
      </w:r>
      <w:r w:rsidR="00F95639">
        <w:rPr>
          <w:bCs/>
        </w:rPr>
        <w:t>,</w:t>
      </w:r>
      <w:r w:rsidRPr="004001E2">
        <w:rPr>
          <w:bCs/>
          <w:i/>
          <w:iCs/>
        </w:rPr>
        <w:t xml:space="preserve"> </w:t>
      </w:r>
      <w:r w:rsidRPr="004001E2">
        <w:rPr>
          <w:bCs/>
        </w:rPr>
        <w:t xml:space="preserve">to substantiate the charging of any salaries and other project activities costs related to interruption of operations or services. </w:t>
      </w:r>
    </w:p>
    <w:p w14:paraId="03042E3D" w14:textId="0E3294B9" w:rsidR="004001E2" w:rsidRDefault="004001E2" w:rsidP="004001E2">
      <w:pPr>
        <w:jc w:val="both"/>
        <w:rPr>
          <w:bCs/>
        </w:rPr>
      </w:pPr>
      <w:r w:rsidRPr="00D27DDD">
        <w:rPr>
          <w:bCs/>
        </w:rPr>
        <w:t xml:space="preserve">Due to the limited funding resources under each </w:t>
      </w:r>
      <w:r w:rsidR="00074378">
        <w:rPr>
          <w:bCs/>
        </w:rPr>
        <w:t>NIH</w:t>
      </w:r>
      <w:r w:rsidRPr="00D27DDD">
        <w:rPr>
          <w:bCs/>
        </w:rPr>
        <w:t xml:space="preserve"> award </w:t>
      </w:r>
      <w:r w:rsidR="001D4515" w:rsidRPr="00D27DDD">
        <w:rPr>
          <w:bCs/>
        </w:rPr>
        <w:t xml:space="preserve">necessary </w:t>
      </w:r>
      <w:r w:rsidRPr="00D27DDD">
        <w:rPr>
          <w:bCs/>
        </w:rPr>
        <w:t xml:space="preserve">to achieve its specific </w:t>
      </w:r>
      <w:r w:rsidR="00D969D9" w:rsidRPr="00D27DDD">
        <w:rPr>
          <w:bCs/>
        </w:rPr>
        <w:t>project</w:t>
      </w:r>
      <w:r w:rsidRPr="00D27DDD">
        <w:rPr>
          <w:bCs/>
        </w:rPr>
        <w:t xml:space="preserve">, </w:t>
      </w:r>
      <w:r w:rsidR="00AE0014" w:rsidRPr="00D27DDD">
        <w:rPr>
          <w:bCs/>
        </w:rPr>
        <w:t xml:space="preserve">as specified in M-20-26, </w:t>
      </w:r>
      <w:r w:rsidRPr="00D27DDD">
        <w:rPr>
          <w:bCs/>
        </w:rPr>
        <w:t xml:space="preserve">recipients must exhaust other available funding sources to sustain its workforce and implement necessary steps to save overall operational costs (such as rent renegotiations) during this pandemic period in order to preserve </w:t>
      </w:r>
      <w:r w:rsidR="00AA328E">
        <w:rPr>
          <w:bCs/>
        </w:rPr>
        <w:t>NIH</w:t>
      </w:r>
      <w:r w:rsidRPr="00D27DDD">
        <w:rPr>
          <w:bCs/>
        </w:rPr>
        <w:t xml:space="preserve"> funds for the ramp-up effort. </w:t>
      </w:r>
      <w:r w:rsidR="001D4515" w:rsidRPr="00D27DDD">
        <w:rPr>
          <w:bCs/>
        </w:rPr>
        <w:t xml:space="preserve"> </w:t>
      </w:r>
      <w:r w:rsidRPr="00D27DDD">
        <w:rPr>
          <w:bCs/>
        </w:rPr>
        <w:t>Recipients must retain documentation of their efforts to exhaust other funding sources and reduce overall operational costs.</w:t>
      </w:r>
      <w:r w:rsidRPr="004001E2">
        <w:rPr>
          <w:bCs/>
        </w:rPr>
        <w:t xml:space="preserve"> </w:t>
      </w:r>
    </w:p>
    <w:p w14:paraId="7A5433B0" w14:textId="77777777" w:rsidR="003915E7" w:rsidRDefault="003915E7" w:rsidP="004001E2">
      <w:pPr>
        <w:jc w:val="both"/>
        <w:rPr>
          <w:bCs/>
        </w:rPr>
      </w:pPr>
    </w:p>
    <w:p w14:paraId="0C5FC5E8" w14:textId="2141F4AC" w:rsidR="003915E7" w:rsidRDefault="003915E7" w:rsidP="004001E2">
      <w:pPr>
        <w:jc w:val="both"/>
        <w:rPr>
          <w:bCs/>
        </w:rPr>
      </w:pPr>
      <w:bookmarkStart w:id="2" w:name="_Hlk43399495"/>
      <w:r>
        <w:rPr>
          <w:bCs/>
        </w:rPr>
        <w:t xml:space="preserve">This flexibility is time limited and will expire on September 30, 2020. </w:t>
      </w:r>
    </w:p>
    <w:bookmarkEnd w:id="2"/>
    <w:p w14:paraId="1262991F" w14:textId="77777777" w:rsidR="003915E7" w:rsidRPr="004001E2" w:rsidRDefault="003915E7" w:rsidP="004001E2">
      <w:pPr>
        <w:jc w:val="both"/>
        <w:rPr>
          <w:bCs/>
        </w:rPr>
      </w:pPr>
    </w:p>
    <w:p w14:paraId="6850E092" w14:textId="3EE0EEB9" w:rsidR="00BD603B" w:rsidRDefault="00BD603B" w:rsidP="00E24CC4">
      <w:pPr>
        <w:ind w:left="720" w:hanging="720"/>
        <w:jc w:val="both"/>
        <w:rPr>
          <w:bCs/>
        </w:rPr>
      </w:pPr>
      <w:r w:rsidRPr="00BD603B">
        <w:rPr>
          <w:b/>
          <w:bCs/>
        </w:rPr>
        <w:t xml:space="preserve">2. </w:t>
      </w:r>
      <w:r w:rsidR="00E24CC4">
        <w:rPr>
          <w:b/>
          <w:bCs/>
        </w:rPr>
        <w:tab/>
      </w:r>
      <w:r w:rsidRPr="00BD603B">
        <w:rPr>
          <w:b/>
          <w:bCs/>
        </w:rPr>
        <w:t>Extension of Single Audit Submission and COVID-19 Emergency Acts Fund Reporting</w:t>
      </w:r>
      <w:r w:rsidR="003915E7">
        <w:rPr>
          <w:b/>
          <w:bCs/>
        </w:rPr>
        <w:t xml:space="preserve"> </w:t>
      </w:r>
      <w:r w:rsidRPr="00BD603B">
        <w:rPr>
          <w:bCs/>
        </w:rPr>
        <w:t xml:space="preserve">(2 CFR § 200.512) </w:t>
      </w:r>
    </w:p>
    <w:p w14:paraId="26168160" w14:textId="77777777" w:rsidR="00E24CC4" w:rsidRPr="00BD603B" w:rsidRDefault="00E24CC4" w:rsidP="000814DC">
      <w:pPr>
        <w:ind w:left="720" w:hanging="720"/>
        <w:jc w:val="both"/>
        <w:rPr>
          <w:bCs/>
        </w:rPr>
      </w:pPr>
    </w:p>
    <w:p w14:paraId="3CC43FD2" w14:textId="3BD14020" w:rsidR="00BD603B" w:rsidRPr="00BD603B" w:rsidRDefault="000814DC" w:rsidP="00BD603B">
      <w:pPr>
        <w:jc w:val="both"/>
        <w:rPr>
          <w:bCs/>
        </w:rPr>
      </w:pPr>
      <w:r>
        <w:rPr>
          <w:bCs/>
        </w:rPr>
        <w:t>R</w:t>
      </w:r>
      <w:r w:rsidR="00BD603B" w:rsidRPr="00BD603B">
        <w:rPr>
          <w:bCs/>
        </w:rPr>
        <w:t>ecipients and subrecipients that have not yet filed their single audits with the Federal Audit Clearinghouse as of March 19, 2020</w:t>
      </w:r>
      <w:r>
        <w:rPr>
          <w:bCs/>
        </w:rPr>
        <w:t>,</w:t>
      </w:r>
      <w:r w:rsidR="00BD603B" w:rsidRPr="00BD603B">
        <w:rPr>
          <w:bCs/>
        </w:rPr>
        <w:t xml:space="preserve"> that have normal due dates from March 30, 2020 through June 30, 2020</w:t>
      </w:r>
      <w:r w:rsidR="00F95639">
        <w:rPr>
          <w:bCs/>
        </w:rPr>
        <w:t>,</w:t>
      </w:r>
      <w:r w:rsidR="00BD603B" w:rsidRPr="00BD603B">
        <w:rPr>
          <w:bCs/>
        </w:rPr>
        <w:t xml:space="preserve"> </w:t>
      </w:r>
      <w:r>
        <w:rPr>
          <w:bCs/>
        </w:rPr>
        <w:t xml:space="preserve">are authorized </w:t>
      </w:r>
      <w:r w:rsidR="00BD603B" w:rsidRPr="00BD603B">
        <w:rPr>
          <w:bCs/>
        </w:rPr>
        <w:t>to delay the completion and submission of the Single Audit reporting package, as required under Subpart F of</w:t>
      </w:r>
      <w:r w:rsidR="00F95639">
        <w:rPr>
          <w:bCs/>
        </w:rPr>
        <w:t xml:space="preserve"> </w:t>
      </w:r>
      <w:r w:rsidR="00BD603B" w:rsidRPr="00BD603B">
        <w:rPr>
          <w:bCs/>
        </w:rPr>
        <w:t xml:space="preserve">2 CFR § 200.501 </w:t>
      </w:r>
      <w:r w:rsidR="00BD603B" w:rsidRPr="00BD603B">
        <w:rPr>
          <w:bCs/>
          <w:i/>
          <w:iCs/>
        </w:rPr>
        <w:t>-</w:t>
      </w:r>
      <w:r w:rsidR="00F95639">
        <w:rPr>
          <w:bCs/>
          <w:i/>
          <w:iCs/>
        </w:rPr>
        <w:t xml:space="preserve"> </w:t>
      </w:r>
      <w:r w:rsidR="00BD603B" w:rsidRPr="00BD603B">
        <w:rPr>
          <w:bCs/>
          <w:i/>
          <w:iCs/>
        </w:rPr>
        <w:t xml:space="preserve">Audit Requirements, </w:t>
      </w:r>
      <w:r w:rsidR="00BD603B" w:rsidRPr="00BD603B">
        <w:rPr>
          <w:bCs/>
        </w:rPr>
        <w:t xml:space="preserve">up to six (6) months beyond the normal due date. </w:t>
      </w:r>
      <w:r w:rsidR="008C5677">
        <w:rPr>
          <w:bCs/>
        </w:rPr>
        <w:t xml:space="preserve"> </w:t>
      </w:r>
      <w:r w:rsidR="00BD603B" w:rsidRPr="00BD603B">
        <w:rPr>
          <w:bCs/>
        </w:rPr>
        <w:t>Audits with normal due dates from July 31, 2020</w:t>
      </w:r>
      <w:r w:rsidR="00F95639">
        <w:rPr>
          <w:bCs/>
        </w:rPr>
        <w:t>,</w:t>
      </w:r>
      <w:r w:rsidR="00BD603B" w:rsidRPr="00BD603B">
        <w:rPr>
          <w:bCs/>
        </w:rPr>
        <w:t xml:space="preserve"> through September 30, 2020</w:t>
      </w:r>
      <w:r w:rsidR="00F95639">
        <w:rPr>
          <w:bCs/>
        </w:rPr>
        <w:t>,</w:t>
      </w:r>
      <w:r w:rsidR="00BD603B" w:rsidRPr="00BD603B">
        <w:rPr>
          <w:bCs/>
        </w:rPr>
        <w:t xml:space="preserve"> will have an extension </w:t>
      </w:r>
      <w:r w:rsidR="00F95639">
        <w:rPr>
          <w:bCs/>
        </w:rPr>
        <w:t xml:space="preserve">of </w:t>
      </w:r>
      <w:r w:rsidR="00BD603B" w:rsidRPr="00BD603B">
        <w:rPr>
          <w:bCs/>
        </w:rPr>
        <w:t xml:space="preserve">up to three (3) months beyond the normal due date. </w:t>
      </w:r>
      <w:r>
        <w:rPr>
          <w:bCs/>
        </w:rPr>
        <w:t xml:space="preserve"> </w:t>
      </w:r>
      <w:r w:rsidR="00BD603B" w:rsidRPr="00BD603B">
        <w:rPr>
          <w:bCs/>
        </w:rPr>
        <w:t xml:space="preserve">No further action by </w:t>
      </w:r>
      <w:r w:rsidR="00AA328E">
        <w:rPr>
          <w:bCs/>
        </w:rPr>
        <w:t>NIH</w:t>
      </w:r>
      <w:r>
        <w:rPr>
          <w:bCs/>
        </w:rPr>
        <w:t xml:space="preserve"> </w:t>
      </w:r>
      <w:r w:rsidR="00BD603B" w:rsidRPr="00BD603B">
        <w:rPr>
          <w:bCs/>
        </w:rPr>
        <w:t xml:space="preserve">is required to enact this extension. This extension does not require individual recipients and subrecipients to seek approval for the extension by the cognizant or oversight agency for audit; however, recipients and subrecipients should maintain documentation of the reason for the delayed filing. </w:t>
      </w:r>
      <w:r w:rsidR="00186B0B">
        <w:rPr>
          <w:bCs/>
        </w:rPr>
        <w:t xml:space="preserve"> </w:t>
      </w:r>
      <w:r w:rsidR="00BD603B" w:rsidRPr="00BD603B">
        <w:rPr>
          <w:bCs/>
        </w:rPr>
        <w:t>Recipients and subrecipients taking advantage of this extension would still qualify as a "low-risk auditee" under the criteria of 2 CFR § 200.520(a)</w:t>
      </w:r>
      <w:r w:rsidR="00F95639">
        <w:rPr>
          <w:bCs/>
        </w:rPr>
        <w:t xml:space="preserve"> -</w:t>
      </w:r>
      <w:r>
        <w:rPr>
          <w:bCs/>
        </w:rPr>
        <w:t xml:space="preserve"> </w:t>
      </w:r>
      <w:r w:rsidR="00BD603B" w:rsidRPr="00BD603B">
        <w:rPr>
          <w:bCs/>
          <w:i/>
          <w:iCs/>
        </w:rPr>
        <w:t>Criteria</w:t>
      </w:r>
      <w:r w:rsidR="00E24CC4">
        <w:rPr>
          <w:bCs/>
          <w:i/>
          <w:iCs/>
        </w:rPr>
        <w:t xml:space="preserve"> </w:t>
      </w:r>
      <w:r w:rsidR="00BD603B" w:rsidRPr="00BD603B">
        <w:rPr>
          <w:bCs/>
          <w:i/>
          <w:iCs/>
        </w:rPr>
        <w:t xml:space="preserve">for a low-risk auditee. </w:t>
      </w:r>
    </w:p>
    <w:p w14:paraId="333F1F16" w14:textId="77777777" w:rsidR="00E24CC4" w:rsidRDefault="00E24CC4" w:rsidP="00BD603B">
      <w:pPr>
        <w:jc w:val="both"/>
        <w:rPr>
          <w:bCs/>
        </w:rPr>
      </w:pPr>
    </w:p>
    <w:p w14:paraId="59D0C4F3" w14:textId="7330D3ED" w:rsidR="0041096D" w:rsidRPr="0041096D" w:rsidRDefault="00BD603B" w:rsidP="00BD603B">
      <w:pPr>
        <w:jc w:val="both"/>
        <w:rPr>
          <w:bCs/>
        </w:rPr>
      </w:pPr>
      <w:r w:rsidRPr="00BD603B">
        <w:rPr>
          <w:bCs/>
        </w:rPr>
        <w:t>Additionally, in order to provide adequate oversight of the COVID-19 Emergency Acts funding and programs, recipients and subrecipients must separately identify the COVID-19 Emergency Acts expenditures on the Schedules of Expenditures of Federal Awards and audit report findings.</w:t>
      </w:r>
    </w:p>
    <w:p w14:paraId="5311112F" w14:textId="104CA551" w:rsidR="00E93DE2" w:rsidRDefault="00E93DE2" w:rsidP="002D43F2">
      <w:pPr>
        <w:jc w:val="both"/>
      </w:pPr>
      <w:bookmarkStart w:id="3" w:name="7._My_NSF_grant_involves_an_exchange_of_"/>
      <w:bookmarkStart w:id="4" w:name="8._I_am_quarantined_for_a_period_of_time"/>
      <w:bookmarkStart w:id="5" w:name="9._My_university_has_asked_staff_to_stay"/>
      <w:bookmarkStart w:id="6" w:name="10._Which_prior_approvals_are_still_requ"/>
      <w:bookmarkStart w:id="7" w:name="_Hlk35526046"/>
      <w:bookmarkEnd w:id="3"/>
      <w:bookmarkEnd w:id="4"/>
      <w:bookmarkEnd w:id="5"/>
      <w:bookmarkEnd w:id="6"/>
    </w:p>
    <w:p w14:paraId="40D77049" w14:textId="6CD82172" w:rsidR="003915E7" w:rsidRPr="003915E7" w:rsidRDefault="003915E7" w:rsidP="003915E7">
      <w:pPr>
        <w:jc w:val="both"/>
        <w:rPr>
          <w:bCs/>
        </w:rPr>
      </w:pPr>
      <w:r w:rsidRPr="003915E7">
        <w:rPr>
          <w:bCs/>
        </w:rPr>
        <w:t xml:space="preserve">This flexibility is time limited and will expire on </w:t>
      </w:r>
      <w:r>
        <w:rPr>
          <w:bCs/>
        </w:rPr>
        <w:t>December 31, 2020.</w:t>
      </w:r>
      <w:r w:rsidRPr="003915E7">
        <w:rPr>
          <w:bCs/>
        </w:rPr>
        <w:t xml:space="preserve"> </w:t>
      </w:r>
    </w:p>
    <w:p w14:paraId="676EDC34" w14:textId="77777777" w:rsidR="003915E7" w:rsidRDefault="003915E7" w:rsidP="002D43F2">
      <w:pPr>
        <w:jc w:val="both"/>
      </w:pPr>
    </w:p>
    <w:p w14:paraId="326E1260" w14:textId="55833B73" w:rsidR="000814DC" w:rsidRPr="00E93DE2" w:rsidRDefault="008652A7" w:rsidP="000814DC">
      <w:pPr>
        <w:jc w:val="both"/>
      </w:pPr>
      <w:r>
        <w:t xml:space="preserve">Any questions regarding the </w:t>
      </w:r>
      <w:r w:rsidR="00AA328E">
        <w:t>NIH</w:t>
      </w:r>
      <w:r w:rsidR="00F95639">
        <w:t xml:space="preserve"> </w:t>
      </w:r>
      <w:r>
        <w:t xml:space="preserve">implementation of M-20-26 should be directed to the </w:t>
      </w:r>
      <w:r w:rsidR="00AA328E">
        <w:t>NIH</w:t>
      </w:r>
      <w:r w:rsidR="00F95639">
        <w:t xml:space="preserve"> </w:t>
      </w:r>
      <w:r w:rsidR="00AA328E">
        <w:t xml:space="preserve">Office of Policy </w:t>
      </w:r>
      <w:r w:rsidR="0045406E">
        <w:t>for Extramural Research Administration</w:t>
      </w:r>
      <w:r>
        <w:t xml:space="preserve"> at </w:t>
      </w:r>
      <w:hyperlink r:id="rId12" w:history="1">
        <w:r w:rsidR="0045406E" w:rsidRPr="00511944">
          <w:rPr>
            <w:rStyle w:val="Hyperlink"/>
          </w:rPr>
          <w:t>grantspolicy@nih.gov</w:t>
        </w:r>
      </w:hyperlink>
      <w:r>
        <w:t>.</w:t>
      </w:r>
      <w:bookmarkEnd w:id="7"/>
      <w:r w:rsidR="0045406E">
        <w:t xml:space="preserve"> </w:t>
      </w:r>
    </w:p>
    <w:sectPr w:rsidR="000814DC" w:rsidRPr="00E93D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7B40" w14:textId="77777777" w:rsidR="00AF707E" w:rsidRDefault="00AF707E" w:rsidP="00AA28C9">
      <w:r>
        <w:separator/>
      </w:r>
    </w:p>
  </w:endnote>
  <w:endnote w:type="continuationSeparator" w:id="0">
    <w:p w14:paraId="43A11296" w14:textId="77777777" w:rsidR="00AF707E" w:rsidRDefault="00AF707E" w:rsidP="00AA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3B81" w14:textId="77777777" w:rsidR="00FE438A" w:rsidRDefault="00FE4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D79B" w14:textId="77777777" w:rsidR="00FE438A" w:rsidRDefault="00FE4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90CC" w14:textId="77777777" w:rsidR="00FE438A" w:rsidRDefault="00FE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7214C" w14:textId="77777777" w:rsidR="00AF707E" w:rsidRDefault="00AF707E" w:rsidP="00AA28C9">
      <w:r>
        <w:separator/>
      </w:r>
    </w:p>
  </w:footnote>
  <w:footnote w:type="continuationSeparator" w:id="0">
    <w:p w14:paraId="388EF51B" w14:textId="77777777" w:rsidR="00AF707E" w:rsidRDefault="00AF707E" w:rsidP="00AA28C9">
      <w:r>
        <w:continuationSeparator/>
      </w:r>
    </w:p>
  </w:footnote>
  <w:footnote w:id="1">
    <w:p w14:paraId="5238D214" w14:textId="669DA670" w:rsidR="009239CD" w:rsidRDefault="001D4515" w:rsidP="009239CD">
      <w:pPr>
        <w:pStyle w:val="FootnoteText"/>
      </w:pPr>
      <w:r>
        <w:rPr>
          <w:rStyle w:val="FootnoteReference"/>
        </w:rPr>
        <w:footnoteRef/>
      </w:r>
      <w:r w:rsidRPr="008C0590">
        <w:t xml:space="preserve"> </w:t>
      </w:r>
      <w:hyperlink r:id="rId1" w:history="1">
        <w:r w:rsidR="00F95639" w:rsidRPr="00A87DCA">
          <w:rPr>
            <w:rStyle w:val="Hyperlink"/>
          </w:rPr>
          <w:t>O</w:t>
        </w:r>
        <w:r w:rsidRPr="00A87DCA">
          <w:rPr>
            <w:rStyle w:val="Hyperlink"/>
          </w:rPr>
          <w:t>MB M-20-17</w:t>
        </w:r>
      </w:hyperlink>
      <w:r w:rsidRPr="008C0590">
        <w:t xml:space="preserve">, </w:t>
      </w:r>
      <w:r w:rsidRPr="008C0590">
        <w:rPr>
          <w:i/>
          <w:iCs/>
        </w:rPr>
        <w:t>Administrative Relief for</w:t>
      </w:r>
      <w:r>
        <w:t xml:space="preserve"> </w:t>
      </w:r>
      <w:r w:rsidRPr="008C0590">
        <w:rPr>
          <w:i/>
          <w:iCs/>
        </w:rPr>
        <w:t>Recipients and Applicants of Federal Financial Assistance Directly Impacted by the Novel Coronavirus (COVID</w:t>
      </w:r>
      <w:r w:rsidRPr="008C0590">
        <w:rPr>
          <w:i/>
          <w:iCs/>
        </w:rPr>
        <w:softHyphen/>
        <w:t xml:space="preserve">19) due to Loss of Operations </w:t>
      </w:r>
      <w:r w:rsidRPr="008C0590">
        <w:t>(March 19, 2020)</w:t>
      </w:r>
      <w:r w:rsidR="00F95639">
        <w:t>,</w:t>
      </w:r>
      <w:r w:rsidRPr="008C0590">
        <w:t xml:space="preserve"> and </w:t>
      </w:r>
      <w:hyperlink r:id="rId2" w:history="1">
        <w:r w:rsidR="00F95639" w:rsidRPr="00A87DCA">
          <w:rPr>
            <w:rStyle w:val="Hyperlink"/>
          </w:rPr>
          <w:t>O</w:t>
        </w:r>
        <w:r w:rsidRPr="00A87DCA">
          <w:rPr>
            <w:rStyle w:val="Hyperlink"/>
          </w:rPr>
          <w:t>MB M-20-20</w:t>
        </w:r>
      </w:hyperlink>
      <w:r w:rsidRPr="008C0590">
        <w:t xml:space="preserve">, </w:t>
      </w:r>
      <w:r w:rsidRPr="008C0590">
        <w:rPr>
          <w:i/>
          <w:iCs/>
        </w:rPr>
        <w:t>Repurposing Existing Federal Financial Assistance Programs and Awards to Support the E</w:t>
      </w:r>
      <w:r w:rsidRPr="007A066F">
        <w:rPr>
          <w:i/>
          <w:iCs/>
        </w:rPr>
        <w:t xml:space="preserve">mergency Response to the Novel Coronavirus (COVID-19) </w:t>
      </w:r>
      <w:r w:rsidRPr="007A066F">
        <w:t>(April 9, 2020)</w:t>
      </w:r>
      <w:r w:rsidR="00F95639" w:rsidRPr="007A066F">
        <w:t>,</w:t>
      </w:r>
      <w:r w:rsidRPr="007A066F">
        <w:t xml:space="preserve"> were rescinded effective June 16, 2020.</w:t>
      </w:r>
      <w:r w:rsidR="008C5677" w:rsidRPr="007A066F">
        <w:t xml:space="preserve"> </w:t>
      </w:r>
      <w:r w:rsidR="009239CD" w:rsidRPr="007A066F">
        <w:t>Any requests for use of flexibilities specified in OMB Memoranda M-20-17 or M-20-20 that were submitted prior to June 16</w:t>
      </w:r>
      <w:r w:rsidR="009239CD" w:rsidRPr="007A066F">
        <w:rPr>
          <w:vertAlign w:val="superscript"/>
        </w:rPr>
        <w:t>th</w:t>
      </w:r>
      <w:r w:rsidR="009239CD" w:rsidRPr="007A066F">
        <w:t xml:space="preserve"> are actionable by NIH as outlined in NIHs implementation.</w:t>
      </w:r>
      <w:r w:rsidR="009239CD">
        <w:t xml:space="preserve">  </w:t>
      </w:r>
    </w:p>
    <w:p w14:paraId="76357F27" w14:textId="38B9CE57" w:rsidR="008C5677" w:rsidRPr="008C5677" w:rsidRDefault="008C5677" w:rsidP="008C5677">
      <w:pPr>
        <w:pStyle w:val="FootnoteText"/>
      </w:pPr>
    </w:p>
    <w:p w14:paraId="5021B2B9" w14:textId="527E9C58" w:rsidR="001D4515" w:rsidRDefault="001D4515" w:rsidP="008C56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FADF" w14:textId="77777777" w:rsidR="00FE438A" w:rsidRDefault="00FE4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538E" w14:textId="59AEBD9A" w:rsidR="00FE438A" w:rsidRDefault="00FE4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5943" w14:textId="77777777" w:rsidR="00FE438A" w:rsidRDefault="00FE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1B1"/>
    <w:multiLevelType w:val="hybridMultilevel"/>
    <w:tmpl w:val="3A4AA3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47230"/>
    <w:multiLevelType w:val="hybridMultilevel"/>
    <w:tmpl w:val="BEAA190C"/>
    <w:lvl w:ilvl="0" w:tplc="2722CA9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4DB3059"/>
    <w:multiLevelType w:val="hybridMultilevel"/>
    <w:tmpl w:val="399C87B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844F7"/>
    <w:multiLevelType w:val="hybridMultilevel"/>
    <w:tmpl w:val="D83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F3B16"/>
    <w:multiLevelType w:val="multilevel"/>
    <w:tmpl w:val="5D760ED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6C802679"/>
    <w:multiLevelType w:val="hybridMultilevel"/>
    <w:tmpl w:val="636A6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B86F32"/>
    <w:multiLevelType w:val="hybridMultilevel"/>
    <w:tmpl w:val="A98CF1AC"/>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A2526B2"/>
    <w:multiLevelType w:val="hybridMultilevel"/>
    <w:tmpl w:val="7BC4A2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7FE83C4D"/>
    <w:multiLevelType w:val="hybridMultilevel"/>
    <w:tmpl w:val="478EA3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50"/>
    <w:rsid w:val="00002FFA"/>
    <w:rsid w:val="00014CF0"/>
    <w:rsid w:val="000235BE"/>
    <w:rsid w:val="00025490"/>
    <w:rsid w:val="000261A5"/>
    <w:rsid w:val="000401F9"/>
    <w:rsid w:val="000522F8"/>
    <w:rsid w:val="00060802"/>
    <w:rsid w:val="00070946"/>
    <w:rsid w:val="00074378"/>
    <w:rsid w:val="000814DC"/>
    <w:rsid w:val="0008313A"/>
    <w:rsid w:val="000A662A"/>
    <w:rsid w:val="000D306F"/>
    <w:rsid w:val="000E7719"/>
    <w:rsid w:val="00101341"/>
    <w:rsid w:val="00110D4D"/>
    <w:rsid w:val="001137E1"/>
    <w:rsid w:val="00114E32"/>
    <w:rsid w:val="00134D16"/>
    <w:rsid w:val="00143E70"/>
    <w:rsid w:val="00147C75"/>
    <w:rsid w:val="00162DF8"/>
    <w:rsid w:val="001705E8"/>
    <w:rsid w:val="00173711"/>
    <w:rsid w:val="00174C24"/>
    <w:rsid w:val="00182061"/>
    <w:rsid w:val="00186B0B"/>
    <w:rsid w:val="00191D81"/>
    <w:rsid w:val="00195AC6"/>
    <w:rsid w:val="001A15C0"/>
    <w:rsid w:val="001B2D38"/>
    <w:rsid w:val="001B304F"/>
    <w:rsid w:val="001D4515"/>
    <w:rsid w:val="001D5410"/>
    <w:rsid w:val="001E0D4F"/>
    <w:rsid w:val="001E775E"/>
    <w:rsid w:val="001F14E6"/>
    <w:rsid w:val="001F6394"/>
    <w:rsid w:val="00213214"/>
    <w:rsid w:val="002264AD"/>
    <w:rsid w:val="00231349"/>
    <w:rsid w:val="00241DAF"/>
    <w:rsid w:val="00254945"/>
    <w:rsid w:val="00257512"/>
    <w:rsid w:val="00261C96"/>
    <w:rsid w:val="002B35F3"/>
    <w:rsid w:val="002B3AE0"/>
    <w:rsid w:val="002C0420"/>
    <w:rsid w:val="002D3504"/>
    <w:rsid w:val="002D43F2"/>
    <w:rsid w:val="002E5E06"/>
    <w:rsid w:val="002E7F48"/>
    <w:rsid w:val="002F122E"/>
    <w:rsid w:val="002F695D"/>
    <w:rsid w:val="00313744"/>
    <w:rsid w:val="00334F38"/>
    <w:rsid w:val="003403B4"/>
    <w:rsid w:val="00352BD0"/>
    <w:rsid w:val="00361E81"/>
    <w:rsid w:val="003641E2"/>
    <w:rsid w:val="003665FA"/>
    <w:rsid w:val="00380E5C"/>
    <w:rsid w:val="003856DC"/>
    <w:rsid w:val="00387EE6"/>
    <w:rsid w:val="003915E7"/>
    <w:rsid w:val="00393E3D"/>
    <w:rsid w:val="003A5AB6"/>
    <w:rsid w:val="003B4D6D"/>
    <w:rsid w:val="003D2D86"/>
    <w:rsid w:val="003D72B1"/>
    <w:rsid w:val="003E51CE"/>
    <w:rsid w:val="004001E2"/>
    <w:rsid w:val="0041096D"/>
    <w:rsid w:val="00412A08"/>
    <w:rsid w:val="004202B9"/>
    <w:rsid w:val="00423FA1"/>
    <w:rsid w:val="0042466A"/>
    <w:rsid w:val="00441AE9"/>
    <w:rsid w:val="0045406E"/>
    <w:rsid w:val="00473424"/>
    <w:rsid w:val="004A446C"/>
    <w:rsid w:val="004C1488"/>
    <w:rsid w:val="004C6932"/>
    <w:rsid w:val="004D04EE"/>
    <w:rsid w:val="004D48DF"/>
    <w:rsid w:val="004E2DBA"/>
    <w:rsid w:val="004E5450"/>
    <w:rsid w:val="00513D03"/>
    <w:rsid w:val="00517599"/>
    <w:rsid w:val="00521A1F"/>
    <w:rsid w:val="00525806"/>
    <w:rsid w:val="00536232"/>
    <w:rsid w:val="005728AA"/>
    <w:rsid w:val="00587E66"/>
    <w:rsid w:val="00590BE8"/>
    <w:rsid w:val="005A0F94"/>
    <w:rsid w:val="005A2234"/>
    <w:rsid w:val="005A45B9"/>
    <w:rsid w:val="005B3676"/>
    <w:rsid w:val="005C1A98"/>
    <w:rsid w:val="005C44DE"/>
    <w:rsid w:val="005C45BF"/>
    <w:rsid w:val="005D1592"/>
    <w:rsid w:val="005D15CF"/>
    <w:rsid w:val="005E1712"/>
    <w:rsid w:val="005E5BFD"/>
    <w:rsid w:val="005F38C2"/>
    <w:rsid w:val="005F515F"/>
    <w:rsid w:val="005F64F6"/>
    <w:rsid w:val="005F6CDA"/>
    <w:rsid w:val="00602040"/>
    <w:rsid w:val="0062585A"/>
    <w:rsid w:val="00642D4B"/>
    <w:rsid w:val="00645559"/>
    <w:rsid w:val="0065123A"/>
    <w:rsid w:val="006514CD"/>
    <w:rsid w:val="00660A74"/>
    <w:rsid w:val="00672A98"/>
    <w:rsid w:val="00691211"/>
    <w:rsid w:val="006A0B33"/>
    <w:rsid w:val="006D4EAC"/>
    <w:rsid w:val="006D511D"/>
    <w:rsid w:val="007106B2"/>
    <w:rsid w:val="007228AA"/>
    <w:rsid w:val="007250B1"/>
    <w:rsid w:val="0074652F"/>
    <w:rsid w:val="007602AB"/>
    <w:rsid w:val="007675F6"/>
    <w:rsid w:val="00775A54"/>
    <w:rsid w:val="007822A0"/>
    <w:rsid w:val="007874E7"/>
    <w:rsid w:val="007A066F"/>
    <w:rsid w:val="007A14EE"/>
    <w:rsid w:val="007A3F9A"/>
    <w:rsid w:val="007A7EC9"/>
    <w:rsid w:val="007B38DF"/>
    <w:rsid w:val="007B42B4"/>
    <w:rsid w:val="007B5AA9"/>
    <w:rsid w:val="007F0FB5"/>
    <w:rsid w:val="007F2DA3"/>
    <w:rsid w:val="00842322"/>
    <w:rsid w:val="008428A3"/>
    <w:rsid w:val="0085086F"/>
    <w:rsid w:val="008546D9"/>
    <w:rsid w:val="0085484C"/>
    <w:rsid w:val="008652A7"/>
    <w:rsid w:val="00866700"/>
    <w:rsid w:val="0087389B"/>
    <w:rsid w:val="00875F1B"/>
    <w:rsid w:val="0088668D"/>
    <w:rsid w:val="008A1307"/>
    <w:rsid w:val="008A4D69"/>
    <w:rsid w:val="008B05F0"/>
    <w:rsid w:val="008B55BF"/>
    <w:rsid w:val="008C0590"/>
    <w:rsid w:val="008C5677"/>
    <w:rsid w:val="008C6EB2"/>
    <w:rsid w:val="008D0709"/>
    <w:rsid w:val="008D7037"/>
    <w:rsid w:val="008E1F5A"/>
    <w:rsid w:val="008F0BD6"/>
    <w:rsid w:val="00911BE2"/>
    <w:rsid w:val="00913CD9"/>
    <w:rsid w:val="009239CD"/>
    <w:rsid w:val="009258C0"/>
    <w:rsid w:val="009274A8"/>
    <w:rsid w:val="009314F6"/>
    <w:rsid w:val="00943BA3"/>
    <w:rsid w:val="00962F01"/>
    <w:rsid w:val="009938D2"/>
    <w:rsid w:val="009954ED"/>
    <w:rsid w:val="009C4F1D"/>
    <w:rsid w:val="00A15B2A"/>
    <w:rsid w:val="00A310A6"/>
    <w:rsid w:val="00A3797D"/>
    <w:rsid w:val="00A41944"/>
    <w:rsid w:val="00A57A06"/>
    <w:rsid w:val="00A57A34"/>
    <w:rsid w:val="00A6369B"/>
    <w:rsid w:val="00A63BFE"/>
    <w:rsid w:val="00A66341"/>
    <w:rsid w:val="00A849DC"/>
    <w:rsid w:val="00A86BED"/>
    <w:rsid w:val="00A87DCA"/>
    <w:rsid w:val="00A91B1F"/>
    <w:rsid w:val="00A954BA"/>
    <w:rsid w:val="00AA28C9"/>
    <w:rsid w:val="00AA328E"/>
    <w:rsid w:val="00AA3E8E"/>
    <w:rsid w:val="00AB197C"/>
    <w:rsid w:val="00AB2220"/>
    <w:rsid w:val="00AB5707"/>
    <w:rsid w:val="00AC7752"/>
    <w:rsid w:val="00AD06E8"/>
    <w:rsid w:val="00AD23F3"/>
    <w:rsid w:val="00AD5AE2"/>
    <w:rsid w:val="00AD60A6"/>
    <w:rsid w:val="00AE0014"/>
    <w:rsid w:val="00AE31A4"/>
    <w:rsid w:val="00AF707E"/>
    <w:rsid w:val="00B023AD"/>
    <w:rsid w:val="00B04698"/>
    <w:rsid w:val="00B06764"/>
    <w:rsid w:val="00B21B7A"/>
    <w:rsid w:val="00B353CA"/>
    <w:rsid w:val="00B36B60"/>
    <w:rsid w:val="00B46A27"/>
    <w:rsid w:val="00B86A3E"/>
    <w:rsid w:val="00BA0214"/>
    <w:rsid w:val="00BA7E86"/>
    <w:rsid w:val="00BB3915"/>
    <w:rsid w:val="00BD603B"/>
    <w:rsid w:val="00BF3192"/>
    <w:rsid w:val="00BF3C01"/>
    <w:rsid w:val="00BF6B29"/>
    <w:rsid w:val="00BF7823"/>
    <w:rsid w:val="00C04B8F"/>
    <w:rsid w:val="00C51382"/>
    <w:rsid w:val="00C821B2"/>
    <w:rsid w:val="00C91BEB"/>
    <w:rsid w:val="00C93DB4"/>
    <w:rsid w:val="00C97378"/>
    <w:rsid w:val="00CA583B"/>
    <w:rsid w:val="00D0639A"/>
    <w:rsid w:val="00D105E5"/>
    <w:rsid w:val="00D20CDA"/>
    <w:rsid w:val="00D234D3"/>
    <w:rsid w:val="00D27DDD"/>
    <w:rsid w:val="00D32A33"/>
    <w:rsid w:val="00D3329E"/>
    <w:rsid w:val="00D4393D"/>
    <w:rsid w:val="00D462E6"/>
    <w:rsid w:val="00D5198B"/>
    <w:rsid w:val="00D5333F"/>
    <w:rsid w:val="00D64035"/>
    <w:rsid w:val="00D65A1D"/>
    <w:rsid w:val="00D66904"/>
    <w:rsid w:val="00D959E6"/>
    <w:rsid w:val="00D969D9"/>
    <w:rsid w:val="00DB2FBC"/>
    <w:rsid w:val="00DB3CF1"/>
    <w:rsid w:val="00DB48A6"/>
    <w:rsid w:val="00DD12FD"/>
    <w:rsid w:val="00DD5238"/>
    <w:rsid w:val="00DD5617"/>
    <w:rsid w:val="00DE69AF"/>
    <w:rsid w:val="00DF0436"/>
    <w:rsid w:val="00DF55D3"/>
    <w:rsid w:val="00E24CC4"/>
    <w:rsid w:val="00E24DC1"/>
    <w:rsid w:val="00E27320"/>
    <w:rsid w:val="00E33FB6"/>
    <w:rsid w:val="00E669E2"/>
    <w:rsid w:val="00E70D01"/>
    <w:rsid w:val="00E723BD"/>
    <w:rsid w:val="00E76281"/>
    <w:rsid w:val="00E90401"/>
    <w:rsid w:val="00E9050C"/>
    <w:rsid w:val="00E93DE2"/>
    <w:rsid w:val="00E950DB"/>
    <w:rsid w:val="00E951EF"/>
    <w:rsid w:val="00EA4A8C"/>
    <w:rsid w:val="00ED3FD7"/>
    <w:rsid w:val="00EF1E57"/>
    <w:rsid w:val="00EF498A"/>
    <w:rsid w:val="00F077C6"/>
    <w:rsid w:val="00F25FE2"/>
    <w:rsid w:val="00F37C4C"/>
    <w:rsid w:val="00F419B5"/>
    <w:rsid w:val="00F8318C"/>
    <w:rsid w:val="00F86756"/>
    <w:rsid w:val="00F94168"/>
    <w:rsid w:val="00F95639"/>
    <w:rsid w:val="00FA1028"/>
    <w:rsid w:val="00FB01E4"/>
    <w:rsid w:val="00FC1600"/>
    <w:rsid w:val="00FD4BE7"/>
    <w:rsid w:val="00FE438A"/>
    <w:rsid w:val="00FF08DB"/>
    <w:rsid w:val="00FF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BC410"/>
  <w15:chartTrackingRefBased/>
  <w15:docId w15:val="{CA4C5786-305A-4C6D-8440-D07D987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4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70"/>
    <w:pPr>
      <w:ind w:left="720"/>
      <w:contextualSpacing/>
    </w:pPr>
  </w:style>
  <w:style w:type="paragraph" w:styleId="BalloonText">
    <w:name w:val="Balloon Text"/>
    <w:basedOn w:val="Normal"/>
    <w:link w:val="BalloonTextChar"/>
    <w:uiPriority w:val="99"/>
    <w:semiHidden/>
    <w:unhideWhenUsed/>
    <w:rsid w:val="005B3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7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54945"/>
    <w:rPr>
      <w:sz w:val="16"/>
      <w:szCs w:val="16"/>
    </w:rPr>
  </w:style>
  <w:style w:type="paragraph" w:styleId="CommentText">
    <w:name w:val="annotation text"/>
    <w:basedOn w:val="Normal"/>
    <w:link w:val="CommentTextChar"/>
    <w:uiPriority w:val="99"/>
    <w:semiHidden/>
    <w:unhideWhenUsed/>
    <w:rsid w:val="00254945"/>
    <w:rPr>
      <w:sz w:val="20"/>
      <w:szCs w:val="20"/>
    </w:rPr>
  </w:style>
  <w:style w:type="character" w:customStyle="1" w:styleId="CommentTextChar">
    <w:name w:val="Comment Text Char"/>
    <w:basedOn w:val="DefaultParagraphFont"/>
    <w:link w:val="CommentText"/>
    <w:uiPriority w:val="99"/>
    <w:semiHidden/>
    <w:rsid w:val="00254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4945"/>
    <w:rPr>
      <w:b/>
      <w:bCs/>
    </w:rPr>
  </w:style>
  <w:style w:type="character" w:customStyle="1" w:styleId="CommentSubjectChar">
    <w:name w:val="Comment Subject Char"/>
    <w:basedOn w:val="CommentTextChar"/>
    <w:link w:val="CommentSubject"/>
    <w:uiPriority w:val="99"/>
    <w:semiHidden/>
    <w:rsid w:val="0025494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F6394"/>
    <w:rPr>
      <w:color w:val="0563C1" w:themeColor="hyperlink"/>
      <w:u w:val="single"/>
    </w:rPr>
  </w:style>
  <w:style w:type="character" w:styleId="UnresolvedMention">
    <w:name w:val="Unresolved Mention"/>
    <w:basedOn w:val="DefaultParagraphFont"/>
    <w:uiPriority w:val="99"/>
    <w:semiHidden/>
    <w:unhideWhenUsed/>
    <w:rsid w:val="005F515F"/>
    <w:rPr>
      <w:color w:val="605E5C"/>
      <w:shd w:val="clear" w:color="auto" w:fill="E1DFDD"/>
    </w:rPr>
  </w:style>
  <w:style w:type="paragraph" w:styleId="Revision">
    <w:name w:val="Revision"/>
    <w:hidden/>
    <w:uiPriority w:val="99"/>
    <w:semiHidden/>
    <w:rsid w:val="0041096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A28C9"/>
    <w:rPr>
      <w:sz w:val="20"/>
      <w:szCs w:val="20"/>
    </w:rPr>
  </w:style>
  <w:style w:type="character" w:customStyle="1" w:styleId="FootnoteTextChar">
    <w:name w:val="Footnote Text Char"/>
    <w:basedOn w:val="DefaultParagraphFont"/>
    <w:link w:val="FootnoteText"/>
    <w:uiPriority w:val="99"/>
    <w:rsid w:val="00AA28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28C9"/>
    <w:rPr>
      <w:vertAlign w:val="superscript"/>
    </w:rPr>
  </w:style>
  <w:style w:type="character" w:styleId="FollowedHyperlink">
    <w:name w:val="FollowedHyperlink"/>
    <w:basedOn w:val="DefaultParagraphFont"/>
    <w:uiPriority w:val="99"/>
    <w:semiHidden/>
    <w:unhideWhenUsed/>
    <w:rsid w:val="007106B2"/>
    <w:rPr>
      <w:color w:val="954F72" w:themeColor="followedHyperlink"/>
      <w:u w:val="single"/>
    </w:rPr>
  </w:style>
  <w:style w:type="paragraph" w:styleId="Header">
    <w:name w:val="header"/>
    <w:basedOn w:val="Normal"/>
    <w:link w:val="HeaderChar"/>
    <w:uiPriority w:val="99"/>
    <w:unhideWhenUsed/>
    <w:rsid w:val="00FE438A"/>
    <w:pPr>
      <w:tabs>
        <w:tab w:val="center" w:pos="4680"/>
        <w:tab w:val="right" w:pos="9360"/>
      </w:tabs>
    </w:pPr>
  </w:style>
  <w:style w:type="character" w:customStyle="1" w:styleId="HeaderChar">
    <w:name w:val="Header Char"/>
    <w:basedOn w:val="DefaultParagraphFont"/>
    <w:link w:val="Header"/>
    <w:uiPriority w:val="99"/>
    <w:rsid w:val="00FE43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38A"/>
    <w:pPr>
      <w:tabs>
        <w:tab w:val="center" w:pos="4680"/>
        <w:tab w:val="right" w:pos="9360"/>
      </w:tabs>
    </w:pPr>
  </w:style>
  <w:style w:type="character" w:customStyle="1" w:styleId="FooterChar">
    <w:name w:val="Footer Char"/>
    <w:basedOn w:val="DefaultParagraphFont"/>
    <w:link w:val="Footer"/>
    <w:uiPriority w:val="99"/>
    <w:rsid w:val="00FE43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2759">
      <w:bodyDiv w:val="1"/>
      <w:marLeft w:val="0"/>
      <w:marRight w:val="0"/>
      <w:marTop w:val="0"/>
      <w:marBottom w:val="0"/>
      <w:divBdr>
        <w:top w:val="none" w:sz="0" w:space="0" w:color="auto"/>
        <w:left w:val="none" w:sz="0" w:space="0" w:color="auto"/>
        <w:bottom w:val="none" w:sz="0" w:space="0" w:color="auto"/>
        <w:right w:val="none" w:sz="0" w:space="0" w:color="auto"/>
      </w:divBdr>
    </w:div>
    <w:div w:id="313339405">
      <w:bodyDiv w:val="1"/>
      <w:marLeft w:val="0"/>
      <w:marRight w:val="0"/>
      <w:marTop w:val="0"/>
      <w:marBottom w:val="0"/>
      <w:divBdr>
        <w:top w:val="none" w:sz="0" w:space="0" w:color="auto"/>
        <w:left w:val="none" w:sz="0" w:space="0" w:color="auto"/>
        <w:bottom w:val="none" w:sz="0" w:space="0" w:color="auto"/>
        <w:right w:val="none" w:sz="0" w:space="0" w:color="auto"/>
      </w:divBdr>
    </w:div>
    <w:div w:id="344939289">
      <w:bodyDiv w:val="1"/>
      <w:marLeft w:val="0"/>
      <w:marRight w:val="0"/>
      <w:marTop w:val="0"/>
      <w:marBottom w:val="0"/>
      <w:divBdr>
        <w:top w:val="none" w:sz="0" w:space="0" w:color="auto"/>
        <w:left w:val="none" w:sz="0" w:space="0" w:color="auto"/>
        <w:bottom w:val="none" w:sz="0" w:space="0" w:color="auto"/>
        <w:right w:val="none" w:sz="0" w:space="0" w:color="auto"/>
      </w:divBdr>
      <w:divsChild>
        <w:div w:id="136656070">
          <w:marLeft w:val="0"/>
          <w:marRight w:val="0"/>
          <w:marTop w:val="0"/>
          <w:marBottom w:val="0"/>
          <w:divBdr>
            <w:top w:val="none" w:sz="0" w:space="0" w:color="auto"/>
            <w:left w:val="none" w:sz="0" w:space="0" w:color="auto"/>
            <w:bottom w:val="none" w:sz="0" w:space="0" w:color="auto"/>
            <w:right w:val="none" w:sz="0" w:space="0" w:color="auto"/>
          </w:divBdr>
          <w:divsChild>
            <w:div w:id="14044773">
              <w:marLeft w:val="0"/>
              <w:marRight w:val="0"/>
              <w:marTop w:val="0"/>
              <w:marBottom w:val="0"/>
              <w:divBdr>
                <w:top w:val="none" w:sz="0" w:space="0" w:color="auto"/>
                <w:left w:val="none" w:sz="0" w:space="0" w:color="auto"/>
                <w:bottom w:val="none" w:sz="0" w:space="0" w:color="auto"/>
                <w:right w:val="none" w:sz="0" w:space="0" w:color="auto"/>
              </w:divBdr>
              <w:divsChild>
                <w:div w:id="5084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0567">
      <w:bodyDiv w:val="1"/>
      <w:marLeft w:val="0"/>
      <w:marRight w:val="0"/>
      <w:marTop w:val="0"/>
      <w:marBottom w:val="0"/>
      <w:divBdr>
        <w:top w:val="none" w:sz="0" w:space="0" w:color="auto"/>
        <w:left w:val="none" w:sz="0" w:space="0" w:color="auto"/>
        <w:bottom w:val="none" w:sz="0" w:space="0" w:color="auto"/>
        <w:right w:val="none" w:sz="0" w:space="0" w:color="auto"/>
      </w:divBdr>
    </w:div>
    <w:div w:id="500971415">
      <w:bodyDiv w:val="1"/>
      <w:marLeft w:val="0"/>
      <w:marRight w:val="0"/>
      <w:marTop w:val="0"/>
      <w:marBottom w:val="0"/>
      <w:divBdr>
        <w:top w:val="none" w:sz="0" w:space="0" w:color="auto"/>
        <w:left w:val="none" w:sz="0" w:space="0" w:color="auto"/>
        <w:bottom w:val="none" w:sz="0" w:space="0" w:color="auto"/>
        <w:right w:val="none" w:sz="0" w:space="0" w:color="auto"/>
      </w:divBdr>
    </w:div>
    <w:div w:id="511577377">
      <w:bodyDiv w:val="1"/>
      <w:marLeft w:val="0"/>
      <w:marRight w:val="0"/>
      <w:marTop w:val="0"/>
      <w:marBottom w:val="0"/>
      <w:divBdr>
        <w:top w:val="none" w:sz="0" w:space="0" w:color="auto"/>
        <w:left w:val="none" w:sz="0" w:space="0" w:color="auto"/>
        <w:bottom w:val="none" w:sz="0" w:space="0" w:color="auto"/>
        <w:right w:val="none" w:sz="0" w:space="0" w:color="auto"/>
      </w:divBdr>
    </w:div>
    <w:div w:id="874271088">
      <w:bodyDiv w:val="1"/>
      <w:marLeft w:val="0"/>
      <w:marRight w:val="0"/>
      <w:marTop w:val="0"/>
      <w:marBottom w:val="0"/>
      <w:divBdr>
        <w:top w:val="none" w:sz="0" w:space="0" w:color="auto"/>
        <w:left w:val="none" w:sz="0" w:space="0" w:color="auto"/>
        <w:bottom w:val="none" w:sz="0" w:space="0" w:color="auto"/>
        <w:right w:val="none" w:sz="0" w:space="0" w:color="auto"/>
      </w:divBdr>
    </w:div>
    <w:div w:id="881283086">
      <w:bodyDiv w:val="1"/>
      <w:marLeft w:val="0"/>
      <w:marRight w:val="0"/>
      <w:marTop w:val="0"/>
      <w:marBottom w:val="0"/>
      <w:divBdr>
        <w:top w:val="none" w:sz="0" w:space="0" w:color="auto"/>
        <w:left w:val="none" w:sz="0" w:space="0" w:color="auto"/>
        <w:bottom w:val="none" w:sz="0" w:space="0" w:color="auto"/>
        <w:right w:val="none" w:sz="0" w:space="0" w:color="auto"/>
      </w:divBdr>
    </w:div>
    <w:div w:id="974414593">
      <w:bodyDiv w:val="1"/>
      <w:marLeft w:val="0"/>
      <w:marRight w:val="0"/>
      <w:marTop w:val="0"/>
      <w:marBottom w:val="0"/>
      <w:divBdr>
        <w:top w:val="none" w:sz="0" w:space="0" w:color="auto"/>
        <w:left w:val="none" w:sz="0" w:space="0" w:color="auto"/>
        <w:bottom w:val="none" w:sz="0" w:space="0" w:color="auto"/>
        <w:right w:val="none" w:sz="0" w:space="0" w:color="auto"/>
      </w:divBdr>
    </w:div>
    <w:div w:id="1004168859">
      <w:bodyDiv w:val="1"/>
      <w:marLeft w:val="0"/>
      <w:marRight w:val="0"/>
      <w:marTop w:val="0"/>
      <w:marBottom w:val="0"/>
      <w:divBdr>
        <w:top w:val="none" w:sz="0" w:space="0" w:color="auto"/>
        <w:left w:val="none" w:sz="0" w:space="0" w:color="auto"/>
        <w:bottom w:val="none" w:sz="0" w:space="0" w:color="auto"/>
        <w:right w:val="none" w:sz="0" w:space="0" w:color="auto"/>
      </w:divBdr>
    </w:div>
    <w:div w:id="1024595656">
      <w:bodyDiv w:val="1"/>
      <w:marLeft w:val="0"/>
      <w:marRight w:val="0"/>
      <w:marTop w:val="0"/>
      <w:marBottom w:val="0"/>
      <w:divBdr>
        <w:top w:val="none" w:sz="0" w:space="0" w:color="auto"/>
        <w:left w:val="none" w:sz="0" w:space="0" w:color="auto"/>
        <w:bottom w:val="none" w:sz="0" w:space="0" w:color="auto"/>
        <w:right w:val="none" w:sz="0" w:space="0" w:color="auto"/>
      </w:divBdr>
    </w:div>
    <w:div w:id="1323200231">
      <w:bodyDiv w:val="1"/>
      <w:marLeft w:val="0"/>
      <w:marRight w:val="0"/>
      <w:marTop w:val="0"/>
      <w:marBottom w:val="0"/>
      <w:divBdr>
        <w:top w:val="none" w:sz="0" w:space="0" w:color="auto"/>
        <w:left w:val="none" w:sz="0" w:space="0" w:color="auto"/>
        <w:bottom w:val="none" w:sz="0" w:space="0" w:color="auto"/>
        <w:right w:val="none" w:sz="0" w:space="0" w:color="auto"/>
      </w:divBdr>
    </w:div>
    <w:div w:id="1389524978">
      <w:bodyDiv w:val="1"/>
      <w:marLeft w:val="0"/>
      <w:marRight w:val="0"/>
      <w:marTop w:val="0"/>
      <w:marBottom w:val="0"/>
      <w:divBdr>
        <w:top w:val="none" w:sz="0" w:space="0" w:color="auto"/>
        <w:left w:val="none" w:sz="0" w:space="0" w:color="auto"/>
        <w:bottom w:val="none" w:sz="0" w:space="0" w:color="auto"/>
        <w:right w:val="none" w:sz="0" w:space="0" w:color="auto"/>
      </w:divBdr>
    </w:div>
    <w:div w:id="1732342137">
      <w:bodyDiv w:val="1"/>
      <w:marLeft w:val="0"/>
      <w:marRight w:val="0"/>
      <w:marTop w:val="0"/>
      <w:marBottom w:val="0"/>
      <w:divBdr>
        <w:top w:val="none" w:sz="0" w:space="0" w:color="auto"/>
        <w:left w:val="none" w:sz="0" w:space="0" w:color="auto"/>
        <w:bottom w:val="none" w:sz="0" w:space="0" w:color="auto"/>
        <w:right w:val="none" w:sz="0" w:space="0" w:color="auto"/>
      </w:divBdr>
    </w:div>
    <w:div w:id="1764762170">
      <w:bodyDiv w:val="1"/>
      <w:marLeft w:val="0"/>
      <w:marRight w:val="0"/>
      <w:marTop w:val="0"/>
      <w:marBottom w:val="0"/>
      <w:divBdr>
        <w:top w:val="none" w:sz="0" w:space="0" w:color="auto"/>
        <w:left w:val="none" w:sz="0" w:space="0" w:color="auto"/>
        <w:bottom w:val="none" w:sz="0" w:space="0" w:color="auto"/>
        <w:right w:val="none" w:sz="0" w:space="0" w:color="auto"/>
      </w:divBdr>
    </w:div>
    <w:div w:id="1767771637">
      <w:bodyDiv w:val="1"/>
      <w:marLeft w:val="0"/>
      <w:marRight w:val="0"/>
      <w:marTop w:val="0"/>
      <w:marBottom w:val="0"/>
      <w:divBdr>
        <w:top w:val="none" w:sz="0" w:space="0" w:color="auto"/>
        <w:left w:val="none" w:sz="0" w:space="0" w:color="auto"/>
        <w:bottom w:val="none" w:sz="0" w:space="0" w:color="auto"/>
        <w:right w:val="none" w:sz="0" w:space="0" w:color="auto"/>
      </w:divBdr>
    </w:div>
    <w:div w:id="1875460282">
      <w:bodyDiv w:val="1"/>
      <w:marLeft w:val="0"/>
      <w:marRight w:val="0"/>
      <w:marTop w:val="0"/>
      <w:marBottom w:val="0"/>
      <w:divBdr>
        <w:top w:val="none" w:sz="0" w:space="0" w:color="auto"/>
        <w:left w:val="none" w:sz="0" w:space="0" w:color="auto"/>
        <w:bottom w:val="none" w:sz="0" w:space="0" w:color="auto"/>
        <w:right w:val="none" w:sz="0" w:space="0" w:color="auto"/>
      </w:divBdr>
    </w:div>
    <w:div w:id="1877156038">
      <w:bodyDiv w:val="1"/>
      <w:marLeft w:val="0"/>
      <w:marRight w:val="0"/>
      <w:marTop w:val="0"/>
      <w:marBottom w:val="0"/>
      <w:divBdr>
        <w:top w:val="none" w:sz="0" w:space="0" w:color="auto"/>
        <w:left w:val="none" w:sz="0" w:space="0" w:color="auto"/>
        <w:bottom w:val="none" w:sz="0" w:space="0" w:color="auto"/>
        <w:right w:val="none" w:sz="0" w:space="0" w:color="auto"/>
      </w:divBdr>
    </w:div>
    <w:div w:id="1908757288">
      <w:bodyDiv w:val="1"/>
      <w:marLeft w:val="0"/>
      <w:marRight w:val="0"/>
      <w:marTop w:val="0"/>
      <w:marBottom w:val="0"/>
      <w:divBdr>
        <w:top w:val="none" w:sz="0" w:space="0" w:color="auto"/>
        <w:left w:val="none" w:sz="0" w:space="0" w:color="auto"/>
        <w:bottom w:val="none" w:sz="0" w:space="0" w:color="auto"/>
        <w:right w:val="none" w:sz="0" w:space="0" w:color="auto"/>
      </w:divBdr>
    </w:div>
    <w:div w:id="19186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policy@nih.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wp-content/uploads/2020/06/M-20-26.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wp-content/uploads/2020/03/M-20-17.pdf" TargetMode="External"/><Relationship Id="rId1" Type="http://schemas.openxmlformats.org/officeDocument/2006/relationships/hyperlink" Target="https://www.whitehouse.gov/wp-content/uploads/2020/03/M-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3" ma:contentTypeDescription="Create a new document." ma:contentTypeScope="" ma:versionID="951b7853fda8b290787a94855b2cb5ba">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ec22e9683466fa1a297f1f0a5d3bee90"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5D97-EC3D-4092-A8E9-A3EE388DE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58EAF-D832-4FC7-8C5D-F42EDCA479FE}">
  <ds:schemaRefs>
    <ds:schemaRef ds:uri="http://schemas.openxmlformats.org/package/2006/metadata/core-properties"/>
    <ds:schemaRef ds:uri="0b516ab0-04e4-4c88-99cd-523706b96b1a"/>
    <ds:schemaRef ds:uri="http://schemas.microsoft.com/office/infopath/2007/PartnerControls"/>
    <ds:schemaRef ds:uri="http://purl.org/dc/terms/"/>
    <ds:schemaRef ds:uri="http://schemas.microsoft.com/office/2006/documentManagement/types"/>
    <ds:schemaRef ds:uri="589fc4a7-9825-4918-b2d3-6237c872ffbf"/>
    <ds:schemaRef ds:uri="http://www.w3.org/XML/1998/namespace"/>
    <ds:schemaRef ds:uri="http://purl.org/dc/elements/1.1/"/>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DF0CB44-40B2-4DF9-9A9F-186987F16D99}">
  <ds:schemaRefs>
    <ds:schemaRef ds:uri="http://schemas.microsoft.com/sharepoint/v3/contenttype/forms"/>
  </ds:schemaRefs>
</ds:datastoreItem>
</file>

<file path=customXml/itemProps4.xml><?xml version="1.0" encoding="utf-8"?>
<ds:datastoreItem xmlns:ds="http://schemas.openxmlformats.org/officeDocument/2006/customXml" ds:itemID="{F95F51C1-F79D-4B9E-AA6F-1C34FC36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Hai M. EOP/OMB</dc:creator>
  <cp:keywords/>
  <dc:description/>
  <cp:lastModifiedBy>Sharma, Priyanka (NIH/OD) [C]</cp:lastModifiedBy>
  <cp:revision>2</cp:revision>
  <cp:lastPrinted>2020-03-20T11:35:00Z</cp:lastPrinted>
  <dcterms:created xsi:type="dcterms:W3CDTF">2020-06-26T13:00:00Z</dcterms:created>
  <dcterms:modified xsi:type="dcterms:W3CDTF">2020-06-26T13:00:00Z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