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62BD" w14:textId="53D3F90A" w:rsidR="0081139B" w:rsidRDefault="001929FC" w:rsidP="004C5F2D">
      <w:pPr>
        <w:pStyle w:val="Heading1"/>
      </w:pPr>
      <w:bookmarkStart w:id="0" w:name="_top"/>
      <w:bookmarkStart w:id="1" w:name="_Hlk61935183"/>
      <w:bookmarkEnd w:id="0"/>
      <w:r>
        <w:t>Considerations for</w:t>
      </w:r>
      <w:r w:rsidR="004C764C">
        <w:t xml:space="preserve"> New and</w:t>
      </w:r>
      <w:r>
        <w:t xml:space="preserve"> Ongoing </w:t>
      </w:r>
      <w:r w:rsidR="004B6A6B">
        <w:t xml:space="preserve">Human Subjects </w:t>
      </w:r>
      <w:r>
        <w:t>Research During the COVID-19 Public Health Emergency</w:t>
      </w:r>
    </w:p>
    <w:bookmarkEnd w:id="1"/>
    <w:p w14:paraId="5D72C7D9" w14:textId="77777777" w:rsidR="00BB324E" w:rsidRPr="00BB324E" w:rsidRDefault="00BB324E" w:rsidP="00BB324E"/>
    <w:p w14:paraId="1769ABD9" w14:textId="3267CCBD" w:rsidR="001929FC" w:rsidRDefault="001929FC" w:rsidP="001929FC">
      <w:r>
        <w:t xml:space="preserve">NIH recognizes the challenges faced by </w:t>
      </w:r>
      <w:r w:rsidR="004C764C">
        <w:t xml:space="preserve">applicants and/or </w:t>
      </w:r>
      <w:r>
        <w:t xml:space="preserve">recipients of NIH </w:t>
      </w:r>
      <w:r w:rsidR="004C764C">
        <w:t xml:space="preserve">grant/cooperative agreement </w:t>
      </w:r>
      <w:r>
        <w:t xml:space="preserve">awards during the current declared </w:t>
      </w:r>
      <w:hyperlink r:id="rId11" w:history="1">
        <w:r>
          <w:rPr>
            <w:rStyle w:val="Hyperlink"/>
          </w:rPr>
          <w:t>public health emergency</w:t>
        </w:r>
      </w:hyperlink>
      <w:r>
        <w:t xml:space="preserve"> caused by COVID-19.   NIH remains dedicated to the safety and welfare of human </w:t>
      </w:r>
      <w:r w:rsidR="00A2303E">
        <w:t xml:space="preserve">research </w:t>
      </w:r>
      <w:r>
        <w:t xml:space="preserve">participants and the research staff involved in these studies.  On March 16, 2020, NIH  published </w:t>
      </w:r>
      <w:hyperlink r:id="rId12" w:history="1">
        <w:r>
          <w:rPr>
            <w:rStyle w:val="Hyperlink"/>
          </w:rPr>
          <w:t>NOT-OD-20-087</w:t>
        </w:r>
      </w:hyperlink>
      <w:r>
        <w:t xml:space="preserve"> for NIH-funded clinical trials and human subjects studies. The guidance encourages recipients to consult with their IRB and their institution regarding flexibilities in the research that will help protect participants and staff.</w:t>
      </w:r>
    </w:p>
    <w:p w14:paraId="4BF25968" w14:textId="753F39A9" w:rsidR="001929FC" w:rsidRDefault="00BD5ABB">
      <w:r>
        <w:t xml:space="preserve">NIH understands that </w:t>
      </w:r>
      <w:r w:rsidR="004C764C">
        <w:t xml:space="preserve">applicant and/or </w:t>
      </w:r>
      <w:r w:rsidR="00812C46">
        <w:t xml:space="preserve">recipient </w:t>
      </w:r>
      <w:r>
        <w:t xml:space="preserve">institutions </w:t>
      </w:r>
      <w:r w:rsidR="00812C46">
        <w:t>may</w:t>
      </w:r>
      <w:r>
        <w:t xml:space="preserve"> need to exercise flexibility as they navigate the current public health emergency, and that some research may need to slow or pause altoge</w:t>
      </w:r>
      <w:r w:rsidR="009404D3">
        <w:t>ther as hospitals and clinics prioritize patients affected by COVID</w:t>
      </w:r>
      <w:r w:rsidR="00BE0A36">
        <w:t>-</w:t>
      </w:r>
      <w:r w:rsidR="009404D3">
        <w:t>19</w:t>
      </w:r>
      <w:r w:rsidR="00BE0A36">
        <w:t xml:space="preserve">, </w:t>
      </w:r>
      <w:r w:rsidR="002F0EF1">
        <w:t>work to prevent exposure to patients and staff</w:t>
      </w:r>
      <w:r w:rsidR="00BE0A36">
        <w:t xml:space="preserve">, </w:t>
      </w:r>
      <w:r w:rsidR="00122459">
        <w:t>and navigate supply chain interruptions</w:t>
      </w:r>
      <w:r w:rsidR="009404D3">
        <w:t xml:space="preserve">. NIH encourages </w:t>
      </w:r>
      <w:r w:rsidR="00224CD7">
        <w:t xml:space="preserve">recipient </w:t>
      </w:r>
      <w:r w:rsidR="009404D3">
        <w:t xml:space="preserve">institutions to consider how </w:t>
      </w:r>
      <w:r w:rsidR="00812C46">
        <w:t>to</w:t>
      </w:r>
      <w:r w:rsidR="009404D3">
        <w:t xml:space="preserve"> prioritize which research may continue</w:t>
      </w:r>
      <w:r w:rsidR="002F0EF1">
        <w:t xml:space="preserve"> </w:t>
      </w:r>
      <w:r w:rsidR="009404D3">
        <w:t xml:space="preserve">and offers points that </w:t>
      </w:r>
      <w:r w:rsidR="00796F40">
        <w:t>could</w:t>
      </w:r>
      <w:r w:rsidR="009404D3">
        <w:t xml:space="preserve"> be considered by institution Human Research Protection Program</w:t>
      </w:r>
      <w:r w:rsidR="002F0EF1">
        <w:t>s</w:t>
      </w:r>
      <w:r w:rsidR="000333E4">
        <w:t xml:space="preserve"> (HRPP</w:t>
      </w:r>
      <w:r w:rsidR="002F0EF1">
        <w:t>), I</w:t>
      </w:r>
      <w:r w:rsidR="009404D3">
        <w:t xml:space="preserve">RBs and monitoring </w:t>
      </w:r>
      <w:r w:rsidR="00812C46">
        <w:t>entities as these decisions are made and implemented.</w:t>
      </w:r>
      <w:r w:rsidR="009404D3">
        <w:t xml:space="preserve"> </w:t>
      </w:r>
    </w:p>
    <w:p w14:paraId="2B5CBFC0" w14:textId="06DF57C5" w:rsidR="001929FC" w:rsidRPr="00214885" w:rsidRDefault="00172DDA" w:rsidP="001929FC">
      <w:pPr>
        <w:pStyle w:val="ListParagraph"/>
        <w:numPr>
          <w:ilvl w:val="0"/>
          <w:numId w:val="1"/>
        </w:numPr>
      </w:pPr>
      <w:hyperlink w:anchor="Institutional_Considerations" w:history="1">
        <w:r w:rsidR="001929FC" w:rsidRPr="00214885">
          <w:rPr>
            <w:rStyle w:val="Hyperlink"/>
          </w:rPr>
          <w:t>Institutional considerations</w:t>
        </w:r>
        <w:r w:rsidR="00EE5D86" w:rsidRPr="00214885">
          <w:rPr>
            <w:rStyle w:val="Hyperlink"/>
          </w:rPr>
          <w:t xml:space="preserve"> when </w:t>
        </w:r>
        <w:r w:rsidR="000333E4" w:rsidRPr="00214885">
          <w:rPr>
            <w:rStyle w:val="Hyperlink"/>
          </w:rPr>
          <w:t xml:space="preserve">clinical </w:t>
        </w:r>
        <w:r w:rsidR="00EE5D86" w:rsidRPr="00214885">
          <w:rPr>
            <w:rStyle w:val="Hyperlink"/>
          </w:rPr>
          <w:t>needs compete for research resources</w:t>
        </w:r>
      </w:hyperlink>
    </w:p>
    <w:p w14:paraId="203501D8" w14:textId="3B18BA58" w:rsidR="001929FC" w:rsidRDefault="00172DDA" w:rsidP="001929FC">
      <w:pPr>
        <w:pStyle w:val="ListParagraph"/>
        <w:numPr>
          <w:ilvl w:val="0"/>
          <w:numId w:val="1"/>
        </w:numPr>
      </w:pPr>
      <w:hyperlink w:anchor="IRB_Flexibilities" w:history="1">
        <w:r w:rsidR="001929FC" w:rsidRPr="00A7404C">
          <w:rPr>
            <w:rStyle w:val="Hyperlink"/>
          </w:rPr>
          <w:t xml:space="preserve">IRB </w:t>
        </w:r>
        <w:r w:rsidR="008E48DF">
          <w:rPr>
            <w:rStyle w:val="Hyperlink"/>
          </w:rPr>
          <w:t xml:space="preserve">and HRPP </w:t>
        </w:r>
        <w:r w:rsidR="001929FC" w:rsidRPr="00A7404C">
          <w:rPr>
            <w:rStyle w:val="Hyperlink"/>
          </w:rPr>
          <w:t>flexibilities</w:t>
        </w:r>
      </w:hyperlink>
    </w:p>
    <w:bookmarkStart w:id="2" w:name="Alterations_in_planned_monitoring"/>
    <w:p w14:paraId="2C946DD2" w14:textId="0E387FCF" w:rsidR="001929FC" w:rsidRDefault="00AB1E02" w:rsidP="001929FC">
      <w:pPr>
        <w:pStyle w:val="ListParagraph"/>
        <w:numPr>
          <w:ilvl w:val="0"/>
          <w:numId w:val="1"/>
        </w:numPr>
      </w:pPr>
      <w:r>
        <w:fldChar w:fldCharType="begin"/>
      </w:r>
      <w:r>
        <w:instrText xml:space="preserve"> HYPERLINK  \l "Felxibilitiess_in_planned_monitoring" </w:instrText>
      </w:r>
      <w:r>
        <w:fldChar w:fldCharType="separate"/>
      </w:r>
      <w:r w:rsidR="008E48DF" w:rsidRPr="00AB1E02">
        <w:rPr>
          <w:rStyle w:val="Hyperlink"/>
        </w:rPr>
        <w:t>Flexibility in planned monitoring activities</w:t>
      </w:r>
      <w:r>
        <w:fldChar w:fldCharType="end"/>
      </w:r>
      <w:r w:rsidR="008E48DF" w:rsidRPr="00AB1E02">
        <w:t xml:space="preserve"> </w:t>
      </w:r>
      <w:bookmarkEnd w:id="2"/>
      <w:r w:rsidR="008E48DF" w:rsidRPr="00AB1E02">
        <w:t xml:space="preserve"> </w:t>
      </w:r>
    </w:p>
    <w:p w14:paraId="67D9053D" w14:textId="5D605A64" w:rsidR="00D27164" w:rsidRPr="00A9306A" w:rsidRDefault="00172DDA" w:rsidP="001929FC">
      <w:pPr>
        <w:pStyle w:val="ListParagraph"/>
        <w:numPr>
          <w:ilvl w:val="0"/>
          <w:numId w:val="1"/>
        </w:numPr>
        <w:rPr>
          <w:rStyle w:val="Hyperlink"/>
          <w:color w:val="auto"/>
          <w:u w:val="none"/>
        </w:rPr>
      </w:pPr>
      <w:hyperlink w:anchor="Other_relevant_information" w:history="1">
        <w:r w:rsidR="00D27164" w:rsidRPr="008A1ADF">
          <w:rPr>
            <w:rStyle w:val="Hyperlink"/>
          </w:rPr>
          <w:t>Other relevant information</w:t>
        </w:r>
      </w:hyperlink>
    </w:p>
    <w:p w14:paraId="67BD856A" w14:textId="00506C10" w:rsidR="00A9306A" w:rsidRPr="00D27164" w:rsidRDefault="00172DDA" w:rsidP="001929FC">
      <w:pPr>
        <w:pStyle w:val="ListParagraph"/>
        <w:numPr>
          <w:ilvl w:val="0"/>
          <w:numId w:val="1"/>
        </w:numPr>
      </w:pPr>
      <w:hyperlink w:anchor="Other" w:history="1">
        <w:r w:rsidR="00A9306A" w:rsidRPr="00A9306A">
          <w:rPr>
            <w:rStyle w:val="Hyperlink"/>
          </w:rPr>
          <w:t>Additional Resources</w:t>
        </w:r>
      </w:hyperlink>
    </w:p>
    <w:p w14:paraId="5545ED86" w14:textId="77777777" w:rsidR="001929FC" w:rsidRDefault="001929FC" w:rsidP="001929FC">
      <w:pPr>
        <w:pStyle w:val="ListParagraph"/>
      </w:pPr>
    </w:p>
    <w:p w14:paraId="76B61E85" w14:textId="1BEBC735" w:rsidR="001929FC" w:rsidRDefault="001929FC" w:rsidP="001929FC">
      <w:pPr>
        <w:pStyle w:val="ListParagraph"/>
        <w:numPr>
          <w:ilvl w:val="0"/>
          <w:numId w:val="2"/>
        </w:numPr>
        <w:rPr>
          <w:b/>
          <w:bCs/>
        </w:rPr>
      </w:pPr>
      <w:bookmarkStart w:id="3" w:name="Institutional_Considerations"/>
      <w:r w:rsidRPr="002F0EF1">
        <w:rPr>
          <w:b/>
          <w:bCs/>
        </w:rPr>
        <w:t>Institutional considerations</w:t>
      </w:r>
      <w:r w:rsidR="00EE5D86" w:rsidRPr="002F0EF1">
        <w:rPr>
          <w:b/>
          <w:bCs/>
        </w:rPr>
        <w:t xml:space="preserve"> when </w:t>
      </w:r>
      <w:r w:rsidR="000333E4">
        <w:rPr>
          <w:b/>
          <w:bCs/>
        </w:rPr>
        <w:t>clinical</w:t>
      </w:r>
      <w:r w:rsidR="00EE5D86" w:rsidRPr="002F0EF1">
        <w:rPr>
          <w:b/>
          <w:bCs/>
        </w:rPr>
        <w:t xml:space="preserve"> needs compete for research resources</w:t>
      </w:r>
    </w:p>
    <w:bookmarkEnd w:id="3"/>
    <w:p w14:paraId="74B39531" w14:textId="5AF31AB9" w:rsidR="00E573D7" w:rsidRDefault="001929FC" w:rsidP="00E573D7">
      <w:pPr>
        <w:pStyle w:val="ListParagraph"/>
        <w:ind w:left="360"/>
      </w:pPr>
      <w:r>
        <w:t xml:space="preserve">NIH </w:t>
      </w:r>
      <w:r w:rsidR="00812C46">
        <w:t>realizes that recipient institutions will need t</w:t>
      </w:r>
      <w:r w:rsidR="000333E4">
        <w:t>o</w:t>
      </w:r>
      <w:r w:rsidR="002F0EF1">
        <w:t xml:space="preserve"> minimize exposure to patients</w:t>
      </w:r>
      <w:r w:rsidR="001D02A2">
        <w:t>, research participants,</w:t>
      </w:r>
      <w:r w:rsidR="002F0EF1">
        <w:t xml:space="preserve"> and staff</w:t>
      </w:r>
      <w:r w:rsidR="001D02A2">
        <w:t xml:space="preserve"> </w:t>
      </w:r>
      <w:r w:rsidR="002F0EF1">
        <w:t>and must</w:t>
      </w:r>
      <w:r w:rsidR="000333E4">
        <w:t xml:space="preserve"> </w:t>
      </w:r>
      <w:r w:rsidR="00812C46">
        <w:t>prioritize care of patients affected by COVID</w:t>
      </w:r>
      <w:r w:rsidR="00666CF5">
        <w:t>-</w:t>
      </w:r>
      <w:r w:rsidR="00812C46">
        <w:t>19</w:t>
      </w:r>
      <w:r w:rsidR="002F0EF1">
        <w:rPr>
          <w:rStyle w:val="CommentReference"/>
        </w:rPr>
        <w:t>.</w:t>
      </w:r>
      <w:r w:rsidR="00397808">
        <w:rPr>
          <w:rStyle w:val="CommentReference"/>
        </w:rPr>
        <w:t xml:space="preserve"> </w:t>
      </w:r>
      <w:r w:rsidR="00D94BB1">
        <w:t xml:space="preserve">In addition, institutions may experience significant interruptions in the </w:t>
      </w:r>
      <w:r w:rsidR="00E75561">
        <w:t>supply chain.  Any of these</w:t>
      </w:r>
      <w:r w:rsidR="002F0EF1">
        <w:t xml:space="preserve"> </w:t>
      </w:r>
      <w:r w:rsidR="0097715E">
        <w:t xml:space="preserve">circumstances </w:t>
      </w:r>
      <w:r w:rsidR="00796F40">
        <w:t xml:space="preserve">may </w:t>
      </w:r>
      <w:r w:rsidR="002F0EF1">
        <w:t>create a</w:t>
      </w:r>
      <w:r w:rsidR="00812C46">
        <w:t xml:space="preserve"> need to slow or pause certain </w:t>
      </w:r>
      <w:r w:rsidR="002F0EF1">
        <w:t>h</w:t>
      </w:r>
      <w:r w:rsidR="00812C46">
        <w:t xml:space="preserve">uman </w:t>
      </w:r>
      <w:r w:rsidR="002F0EF1">
        <w:t>s</w:t>
      </w:r>
      <w:r w:rsidR="00812C46">
        <w:t xml:space="preserve">ubjects </w:t>
      </w:r>
      <w:r w:rsidR="002F0EF1">
        <w:t>r</w:t>
      </w:r>
      <w:r w:rsidR="00812C46">
        <w:t xml:space="preserve">esearch studies. In order to better protect the participants of these studies, NIH encourages </w:t>
      </w:r>
      <w:r w:rsidR="000333E4">
        <w:t>recipients</w:t>
      </w:r>
      <w:r w:rsidR="00812C46">
        <w:t xml:space="preserve"> to thoughtfully consider plans to</w:t>
      </w:r>
      <w:r>
        <w:t xml:space="preserve"> identify ongoing research that </w:t>
      </w:r>
      <w:r w:rsidR="00812C46">
        <w:t>could</w:t>
      </w:r>
      <w:r>
        <w:t xml:space="preserve"> be impacted by the </w:t>
      </w:r>
      <w:r w:rsidR="00BE7D18">
        <w:t xml:space="preserve">public health emergency, </w:t>
      </w:r>
      <w:r w:rsidR="00812C46">
        <w:t xml:space="preserve">and </w:t>
      </w:r>
      <w:r w:rsidR="00A629BB">
        <w:t xml:space="preserve">to develop appropriate strategies </w:t>
      </w:r>
      <w:r w:rsidR="00EE5D86">
        <w:t>to minimize the risk</w:t>
      </w:r>
      <w:r w:rsidR="00812C46">
        <w:t xml:space="preserve"> to the individual participant</w:t>
      </w:r>
      <w:r w:rsidR="00EE5D86">
        <w:t>s</w:t>
      </w:r>
      <w:r w:rsidR="00A629BB">
        <w:t>,</w:t>
      </w:r>
      <w:r w:rsidR="00EE5D86">
        <w:t xml:space="preserve"> while maximizing potential benefit to them. Institutions</w:t>
      </w:r>
      <w:r w:rsidR="006225CB">
        <w:t xml:space="preserve"> should </w:t>
      </w:r>
      <w:r w:rsidR="00EE5D86">
        <w:t>involve</w:t>
      </w:r>
      <w:r w:rsidR="006225CB">
        <w:t xml:space="preserve"> their Human Research Protections Program and the </w:t>
      </w:r>
      <w:r w:rsidR="00C30142">
        <w:t xml:space="preserve">responsible </w:t>
      </w:r>
      <w:r w:rsidR="006225CB">
        <w:t>IRB(s)</w:t>
      </w:r>
      <w:r w:rsidR="00EE5D86">
        <w:t xml:space="preserve"> as these plans are devised and implemented.</w:t>
      </w:r>
      <w:r w:rsidR="006225CB">
        <w:t xml:space="preserve"> </w:t>
      </w:r>
    </w:p>
    <w:p w14:paraId="2E521B06" w14:textId="77777777" w:rsidR="004C5F2D" w:rsidRDefault="004C5F2D" w:rsidP="001929FC">
      <w:pPr>
        <w:pStyle w:val="ListParagraph"/>
        <w:ind w:left="360"/>
      </w:pPr>
    </w:p>
    <w:p w14:paraId="1EE3789E" w14:textId="20DF89F7" w:rsidR="0096561C" w:rsidRPr="00DC6FCE" w:rsidRDefault="00C30142" w:rsidP="0096561C">
      <w:pPr>
        <w:pStyle w:val="ListParagraph"/>
        <w:numPr>
          <w:ilvl w:val="0"/>
          <w:numId w:val="2"/>
        </w:numPr>
        <w:rPr>
          <w:b/>
          <w:bCs/>
        </w:rPr>
      </w:pPr>
      <w:bookmarkStart w:id="4" w:name="IRB_Flexibilities"/>
      <w:r w:rsidRPr="00DC6FCE">
        <w:rPr>
          <w:b/>
          <w:bCs/>
        </w:rPr>
        <w:t>IRB and HRPP flexibilities</w:t>
      </w:r>
    </w:p>
    <w:bookmarkEnd w:id="4"/>
    <w:p w14:paraId="1893DB7E" w14:textId="0132B80A" w:rsidR="00EE3F39" w:rsidRDefault="00C30142" w:rsidP="00DC6FCE">
      <w:pPr>
        <w:pStyle w:val="ListParagraph"/>
        <w:ind w:left="360"/>
      </w:pPr>
      <w:r>
        <w:t>NIH encourages</w:t>
      </w:r>
      <w:r w:rsidR="00B25AF1">
        <w:t xml:space="preserve"> institutions and IRBs</w:t>
      </w:r>
      <w:r>
        <w:t xml:space="preserve"> to exercise flexibilit</w:t>
      </w:r>
      <w:r w:rsidR="000333E4">
        <w:t>y</w:t>
      </w:r>
      <w:r>
        <w:t xml:space="preserve"> as they work with investigators to protect human participants and minimize the impact on the scientific integrity of the studies they review. Potential areas of flexibility to consider include, but are not limited to:</w:t>
      </w:r>
      <w:r w:rsidR="00055B0C">
        <w:t xml:space="preserve">  </w:t>
      </w:r>
    </w:p>
    <w:p w14:paraId="7A9259A6" w14:textId="5AFB2771" w:rsidR="00DC6FCE" w:rsidRDefault="00EE3F39" w:rsidP="00DC6FCE">
      <w:pPr>
        <w:pStyle w:val="ListParagraph"/>
        <w:numPr>
          <w:ilvl w:val="0"/>
          <w:numId w:val="3"/>
        </w:numPr>
      </w:pPr>
      <w:r>
        <w:t xml:space="preserve">Institutions and IRBs </w:t>
      </w:r>
      <w:r w:rsidR="00796F40">
        <w:t>could</w:t>
      </w:r>
      <w:r>
        <w:t xml:space="preserve"> consider flexibility with processes and timelines for reporting missed study visits and interventions. </w:t>
      </w:r>
    </w:p>
    <w:p w14:paraId="1C9CA18E" w14:textId="2D6F2162" w:rsidR="00EE3F39" w:rsidRPr="00317F4A" w:rsidRDefault="00B710F4" w:rsidP="00DC6FCE">
      <w:pPr>
        <w:pStyle w:val="ListParagraph"/>
        <w:numPr>
          <w:ilvl w:val="0"/>
          <w:numId w:val="3"/>
        </w:numPr>
      </w:pPr>
      <w:r>
        <w:t xml:space="preserve">HHS regulations </w:t>
      </w:r>
      <w:r w:rsidRPr="00317F4A">
        <w:t xml:space="preserve">at </w:t>
      </w:r>
      <w:hyperlink r:id="rId13" w:anchor="se45.1.46_1108" w:history="1">
        <w:r w:rsidRPr="00317F4A">
          <w:rPr>
            <w:rStyle w:val="Hyperlink"/>
          </w:rPr>
          <w:t>45 CFR 46.108(3)(iii)</w:t>
        </w:r>
      </w:hyperlink>
      <w:r w:rsidRPr="00317F4A">
        <w:t xml:space="preserve"> </w:t>
      </w:r>
      <w:r w:rsidR="00BF04FF" w:rsidRPr="00317F4A">
        <w:t xml:space="preserve">allow investigators to implement changes </w:t>
      </w:r>
      <w:r w:rsidR="00055B0C" w:rsidRPr="00317F4A">
        <w:t>before obtaining prospective IRB approval in situations when necessary “to eliminate apparent immediate hazards to the subject</w:t>
      </w:r>
      <w:r w:rsidR="00BF04FF" w:rsidRPr="00317F4A">
        <w:t>.</w:t>
      </w:r>
      <w:r w:rsidR="00055B0C" w:rsidRPr="00317F4A">
        <w:t>”</w:t>
      </w:r>
      <w:r w:rsidR="00BF04FF" w:rsidRPr="00317F4A">
        <w:t xml:space="preserve"> Institutions and IRBs </w:t>
      </w:r>
      <w:r w:rsidR="00796F40" w:rsidRPr="00317F4A">
        <w:t xml:space="preserve">could </w:t>
      </w:r>
      <w:r w:rsidR="00BF04FF" w:rsidRPr="00317F4A">
        <w:t xml:space="preserve">consider flexibilities </w:t>
      </w:r>
      <w:r w:rsidR="00DC6FCE" w:rsidRPr="00317F4A">
        <w:t xml:space="preserve">in </w:t>
      </w:r>
      <w:r w:rsidR="00BF04FF" w:rsidRPr="00317F4A">
        <w:t>policies and practices regarding</w:t>
      </w:r>
      <w:r w:rsidR="00DC6FCE" w:rsidRPr="00317F4A">
        <w:t xml:space="preserve"> institutional </w:t>
      </w:r>
      <w:r w:rsidR="00BF04FF" w:rsidRPr="00317F4A">
        <w:t>reporting timelines</w:t>
      </w:r>
      <w:r w:rsidR="0080559D" w:rsidRPr="00317F4A">
        <w:t xml:space="preserve"> </w:t>
      </w:r>
      <w:r w:rsidR="00DC6FCE" w:rsidRPr="00317F4A">
        <w:t>if</w:t>
      </w:r>
      <w:r w:rsidR="0080559D" w:rsidRPr="00317F4A">
        <w:t xml:space="preserve"> investigators need to exercise this provision.</w:t>
      </w:r>
      <w:r w:rsidR="00693E9B" w:rsidRPr="00317F4A">
        <w:t xml:space="preserve"> See </w:t>
      </w:r>
      <w:hyperlink r:id="rId14" w:history="1">
        <w:r w:rsidR="00693E9B" w:rsidRPr="00317F4A">
          <w:rPr>
            <w:rStyle w:val="Hyperlink"/>
          </w:rPr>
          <w:t>OHRP Guidance on COVID-19</w:t>
        </w:r>
      </w:hyperlink>
      <w:r w:rsidR="00693E9B" w:rsidRPr="00317F4A">
        <w:t xml:space="preserve"> for more information.</w:t>
      </w:r>
    </w:p>
    <w:p w14:paraId="37C28317" w14:textId="23494EEE" w:rsidR="00DF67C2" w:rsidRDefault="00DF67C2" w:rsidP="00A67ECC">
      <w:pPr>
        <w:pStyle w:val="ListParagraph"/>
        <w:numPr>
          <w:ilvl w:val="0"/>
          <w:numId w:val="3"/>
        </w:numPr>
        <w:tabs>
          <w:tab w:val="left" w:pos="2430"/>
        </w:tabs>
      </w:pPr>
      <w:r w:rsidRPr="00317F4A">
        <w:t>Institutions and IRBs are encouraged to work with their investigators</w:t>
      </w:r>
      <w:r>
        <w:t xml:space="preserve"> to develop a process to quickly and safely handle situations where study products and interventions are no longer feasible because of quarantine</w:t>
      </w:r>
      <w:r w:rsidR="001E5892">
        <w:t>s</w:t>
      </w:r>
      <w:r>
        <w:t xml:space="preserve">, </w:t>
      </w:r>
      <w:r w:rsidR="001E5892">
        <w:t xml:space="preserve">lack of supply, </w:t>
      </w:r>
      <w:r>
        <w:t>or other COVID-19 scenarios. Changes in monitoring or additional safety visits may be required</w:t>
      </w:r>
      <w:r w:rsidR="001E5892">
        <w:t>,</w:t>
      </w:r>
      <w:r>
        <w:t xml:space="preserve"> and IRBs and institutions are urged to exercise necessary flexibility to </w:t>
      </w:r>
      <w:r w:rsidR="00F564AC">
        <w:t xml:space="preserve">allow </w:t>
      </w:r>
      <w:r>
        <w:t>enact</w:t>
      </w:r>
      <w:r w:rsidR="00F564AC">
        <w:t>ment of</w:t>
      </w:r>
      <w:r>
        <w:t xml:space="preserve"> these safety measures. </w:t>
      </w:r>
    </w:p>
    <w:p w14:paraId="3FEE7BF5" w14:textId="585A8FEA" w:rsidR="00414292" w:rsidRDefault="00EE3F39" w:rsidP="00454901">
      <w:pPr>
        <w:pStyle w:val="ListParagraph"/>
        <w:numPr>
          <w:ilvl w:val="0"/>
          <w:numId w:val="3"/>
        </w:numPr>
        <w:tabs>
          <w:tab w:val="left" w:pos="2430"/>
        </w:tabs>
      </w:pPr>
      <w:r>
        <w:t>Institutions and IRBs</w:t>
      </w:r>
      <w:r w:rsidR="00796F40">
        <w:t xml:space="preserve"> could</w:t>
      </w:r>
      <w:r>
        <w:t xml:space="preserve"> consider allowing flexibility in the collection of safety labs and how study visits are conducted in order</w:t>
      </w:r>
      <w:r w:rsidR="00426938">
        <w:t xml:space="preserve"> </w:t>
      </w:r>
      <w:r>
        <w:t xml:space="preserve">to </w:t>
      </w:r>
      <w:r w:rsidR="00426938">
        <w:t>minimiz</w:t>
      </w:r>
      <w:r>
        <w:t>e</w:t>
      </w:r>
      <w:r w:rsidR="00426938">
        <w:t xml:space="preserve"> the impact of missed study visits</w:t>
      </w:r>
      <w:r>
        <w:t>. Examples migh</w:t>
      </w:r>
      <w:r w:rsidR="004078DD">
        <w:t>t</w:t>
      </w:r>
      <w:r>
        <w:t xml:space="preserve"> include allowing virtual study visits when appropriate or allowing </w:t>
      </w:r>
      <w:r w:rsidR="00426938">
        <w:t>safety labs to be drawn at a local clinic</w:t>
      </w:r>
      <w:r w:rsidR="00454901">
        <w:t>.</w:t>
      </w:r>
      <w:r w:rsidR="00426938">
        <w:t xml:space="preserve"> </w:t>
      </w:r>
    </w:p>
    <w:p w14:paraId="65F9AF4E" w14:textId="2EFB1503" w:rsidR="00200011" w:rsidRDefault="00BF560F" w:rsidP="00454901">
      <w:pPr>
        <w:pStyle w:val="ListParagraph"/>
        <w:numPr>
          <w:ilvl w:val="0"/>
          <w:numId w:val="3"/>
        </w:numPr>
        <w:tabs>
          <w:tab w:val="left" w:pos="2430"/>
        </w:tabs>
      </w:pPr>
      <w:r>
        <w:t>If health systems require COVID-19 screen</w:t>
      </w:r>
      <w:r w:rsidR="00994478">
        <w:t>ing procedure</w:t>
      </w:r>
      <w:r w:rsidR="00EF25C8">
        <w:t>s</w:t>
      </w:r>
      <w:r w:rsidR="00994478">
        <w:t>, i</w:t>
      </w:r>
      <w:r w:rsidR="00200011">
        <w:t xml:space="preserve">nstitutions and IRBs </w:t>
      </w:r>
      <w:r w:rsidR="005B2F1F">
        <w:t xml:space="preserve">could consider </w:t>
      </w:r>
      <w:r w:rsidR="00C42318">
        <w:t xml:space="preserve">circumstances in which these </w:t>
      </w:r>
      <w:r w:rsidR="005B2F1F">
        <w:t xml:space="preserve">screenings </w:t>
      </w:r>
      <w:r w:rsidR="00C42318">
        <w:t>could</w:t>
      </w:r>
      <w:r w:rsidR="005B2F1F">
        <w:t xml:space="preserve"> be done without amendment to protocols</w:t>
      </w:r>
      <w:r w:rsidR="001B1C23">
        <w:t>.</w:t>
      </w:r>
    </w:p>
    <w:p w14:paraId="2AAF9F70" w14:textId="18DC127D" w:rsidR="00122E46" w:rsidRPr="00122E46" w:rsidRDefault="00C63010" w:rsidP="00122E46">
      <w:pPr>
        <w:pStyle w:val="ListParagraph"/>
        <w:numPr>
          <w:ilvl w:val="0"/>
          <w:numId w:val="3"/>
        </w:numPr>
        <w:tabs>
          <w:tab w:val="left" w:pos="2430"/>
        </w:tabs>
        <w:rPr>
          <w:b/>
          <w:bCs/>
        </w:rPr>
      </w:pPr>
      <w:r>
        <w:t>Institutions that choose to utilize</w:t>
      </w:r>
      <w:r w:rsidR="00D833F1">
        <w:t xml:space="preserve"> provisions outlined in</w:t>
      </w:r>
      <w:r w:rsidR="004078DD">
        <w:t xml:space="preserve"> </w:t>
      </w:r>
      <w:hyperlink r:id="rId15" w:history="1">
        <w:r w:rsidR="004078DD">
          <w:rPr>
            <w:rStyle w:val="Hyperlink"/>
          </w:rPr>
          <w:t>OHRP engagement guidance</w:t>
        </w:r>
      </w:hyperlink>
      <w:r w:rsidR="004078DD">
        <w:t xml:space="preserve"> are reminded that </w:t>
      </w:r>
      <w:r w:rsidR="004078DD" w:rsidRPr="00A67ECC">
        <w:rPr>
          <w:b/>
          <w:bCs/>
        </w:rPr>
        <w:t xml:space="preserve">they </w:t>
      </w:r>
      <w:r w:rsidR="00D833F1">
        <w:rPr>
          <w:b/>
          <w:bCs/>
        </w:rPr>
        <w:t xml:space="preserve">need to </w:t>
      </w:r>
      <w:r w:rsidR="004F21A7" w:rsidRPr="00A67ECC">
        <w:rPr>
          <w:b/>
          <w:bCs/>
        </w:rPr>
        <w:t xml:space="preserve">very </w:t>
      </w:r>
      <w:r w:rsidR="004078DD" w:rsidRPr="00A67ECC">
        <w:rPr>
          <w:b/>
          <w:bCs/>
        </w:rPr>
        <w:t>careful</w:t>
      </w:r>
      <w:r w:rsidR="008E48DF" w:rsidRPr="00A67ECC">
        <w:rPr>
          <w:b/>
          <w:bCs/>
        </w:rPr>
        <w:t>ly</w:t>
      </w:r>
      <w:r w:rsidR="004078DD" w:rsidRPr="00A67ECC">
        <w:rPr>
          <w:b/>
          <w:bCs/>
        </w:rPr>
        <w:t xml:space="preserve"> </w:t>
      </w:r>
      <w:r w:rsidR="008E48DF" w:rsidRPr="00A67ECC">
        <w:rPr>
          <w:b/>
          <w:bCs/>
        </w:rPr>
        <w:t>comply with</w:t>
      </w:r>
      <w:r w:rsidR="004078DD" w:rsidRPr="00A67ECC">
        <w:rPr>
          <w:b/>
          <w:bCs/>
        </w:rPr>
        <w:t xml:space="preserve"> the guidance and remember that </w:t>
      </w:r>
      <w:r w:rsidR="00AC579A" w:rsidRPr="00A67ECC">
        <w:rPr>
          <w:b/>
          <w:bCs/>
        </w:rPr>
        <w:t xml:space="preserve">as in all cases, </w:t>
      </w:r>
      <w:r w:rsidR="004078DD" w:rsidRPr="00A67ECC">
        <w:rPr>
          <w:b/>
          <w:bCs/>
        </w:rPr>
        <w:t xml:space="preserve">all FDA regulations around drug </w:t>
      </w:r>
      <w:r w:rsidR="006A7507" w:rsidRPr="00A67ECC">
        <w:rPr>
          <w:b/>
          <w:bCs/>
        </w:rPr>
        <w:t>accountability</w:t>
      </w:r>
      <w:r w:rsidR="004078DD" w:rsidRPr="00A67ECC">
        <w:rPr>
          <w:b/>
          <w:bCs/>
        </w:rPr>
        <w:t xml:space="preserve"> still apply.  </w:t>
      </w:r>
      <w:r w:rsidR="00D833F1">
        <w:rPr>
          <w:b/>
          <w:bCs/>
        </w:rPr>
        <w:t xml:space="preserve">Questions </w:t>
      </w:r>
      <w:r w:rsidR="00145814">
        <w:rPr>
          <w:b/>
          <w:bCs/>
        </w:rPr>
        <w:t xml:space="preserve">about the OHRP engagement guidance </w:t>
      </w:r>
      <w:r w:rsidR="00D833F1">
        <w:rPr>
          <w:b/>
          <w:bCs/>
        </w:rPr>
        <w:t>should be directed to OHRP</w:t>
      </w:r>
      <w:r w:rsidR="006F3FFD">
        <w:rPr>
          <w:b/>
          <w:bCs/>
        </w:rPr>
        <w:t xml:space="preserve"> (</w:t>
      </w:r>
      <w:hyperlink r:id="rId16" w:history="1">
        <w:r w:rsidR="00CC548F" w:rsidRPr="00915B1D">
          <w:rPr>
            <w:rStyle w:val="Hyperlink"/>
          </w:rPr>
          <w:t>OHRP@HHS.gov</w:t>
        </w:r>
      </w:hyperlink>
      <w:r w:rsidR="00122E46">
        <w:rPr>
          <w:b/>
          <w:bCs/>
        </w:rPr>
        <w:t>)</w:t>
      </w:r>
      <w:r w:rsidR="00CC548F">
        <w:rPr>
          <w:b/>
          <w:bCs/>
        </w:rPr>
        <w:t xml:space="preserve">. </w:t>
      </w:r>
    </w:p>
    <w:p w14:paraId="64769E88" w14:textId="0F324969" w:rsidR="00255F02" w:rsidRPr="00255F02" w:rsidRDefault="001465FF" w:rsidP="00255F02">
      <w:pPr>
        <w:pStyle w:val="ListParagraph"/>
        <w:numPr>
          <w:ilvl w:val="0"/>
          <w:numId w:val="3"/>
        </w:numPr>
        <w:rPr>
          <w:rStyle w:val="Hyperlink"/>
          <w:b/>
          <w:bCs/>
          <w:color w:val="auto"/>
          <w:u w:val="none"/>
        </w:rPr>
      </w:pPr>
      <w:r>
        <w:t>If</w:t>
      </w:r>
      <w:r w:rsidR="005A1BC6">
        <w:t xml:space="preserve"> t</w:t>
      </w:r>
      <w:r w:rsidR="001A5430">
        <w:t xml:space="preserve">he funded </w:t>
      </w:r>
      <w:r w:rsidR="005A1BC6">
        <w:t xml:space="preserve">study involves FDA </w:t>
      </w:r>
      <w:r w:rsidR="00B21F25">
        <w:t xml:space="preserve">regulated </w:t>
      </w:r>
      <w:r w:rsidR="005A1BC6">
        <w:t xml:space="preserve">research, please consult with </w:t>
      </w:r>
      <w:hyperlink r:id="rId17" w:history="1">
        <w:r w:rsidR="005A1BC6" w:rsidRPr="009244A7">
          <w:rPr>
            <w:rStyle w:val="Hyperlink"/>
          </w:rPr>
          <w:t>FDA guidance on conduct of clinical trials of medical products during COVID-19 pandemic</w:t>
        </w:r>
      </w:hyperlink>
      <w:r w:rsidR="00CC548F">
        <w:rPr>
          <w:rStyle w:val="Hyperlink"/>
        </w:rPr>
        <w:t xml:space="preserve">. </w:t>
      </w:r>
    </w:p>
    <w:p w14:paraId="306B3DD4" w14:textId="7865D552" w:rsidR="00255F02" w:rsidRPr="00255F02" w:rsidRDefault="00255F02" w:rsidP="00255F02">
      <w:pPr>
        <w:pStyle w:val="ListParagraph"/>
        <w:numPr>
          <w:ilvl w:val="0"/>
          <w:numId w:val="3"/>
        </w:numPr>
        <w:rPr>
          <w:b/>
          <w:bCs/>
        </w:rPr>
      </w:pPr>
      <w:r>
        <w:t xml:space="preserve">NIH funded </w:t>
      </w:r>
      <w:r w:rsidRPr="00255F02">
        <w:t xml:space="preserve">research </w:t>
      </w:r>
      <w:r w:rsidRPr="003B6210">
        <w:t xml:space="preserve">within the </w:t>
      </w:r>
      <w:r w:rsidRPr="00255F02">
        <w:t>scope of the</w:t>
      </w:r>
      <w:r>
        <w:t xml:space="preserve"> </w:t>
      </w:r>
      <w:hyperlink r:id="rId18" w:history="1">
        <w:r w:rsidRPr="00255F02">
          <w:rPr>
            <w:rStyle w:val="Hyperlink"/>
          </w:rPr>
          <w:t>NIH C</w:t>
        </w:r>
        <w:r w:rsidR="00CC548F">
          <w:rPr>
            <w:rStyle w:val="Hyperlink"/>
          </w:rPr>
          <w:t xml:space="preserve">ertificate </w:t>
        </w:r>
        <w:r w:rsidRPr="00255F02">
          <w:rPr>
            <w:rStyle w:val="Hyperlink"/>
          </w:rPr>
          <w:t>o</w:t>
        </w:r>
        <w:r w:rsidR="00CC548F">
          <w:rPr>
            <w:rStyle w:val="Hyperlink"/>
          </w:rPr>
          <w:t xml:space="preserve">f </w:t>
        </w:r>
        <w:r w:rsidRPr="00255F02">
          <w:rPr>
            <w:rStyle w:val="Hyperlink"/>
          </w:rPr>
          <w:t>C</w:t>
        </w:r>
        <w:r w:rsidR="00CC548F">
          <w:rPr>
            <w:rStyle w:val="Hyperlink"/>
          </w:rPr>
          <w:t>onfidentiality</w:t>
        </w:r>
        <w:r w:rsidRPr="00255F02">
          <w:rPr>
            <w:rStyle w:val="Hyperlink"/>
          </w:rPr>
          <w:t xml:space="preserve"> policy</w:t>
        </w:r>
      </w:hyperlink>
      <w:hyperlink r:id="rId19" w:tgtFrame="_blank" w:history="1"/>
      <w:r w:rsidRPr="00255F02">
        <w:t xml:space="preserve"> is </w:t>
      </w:r>
      <w:r w:rsidRPr="003B6210">
        <w:t xml:space="preserve">automatically </w:t>
      </w:r>
      <w:r>
        <w:t xml:space="preserve">covered by a Certificate. Disclosure of information from a study protected by a certificate is permitted, among other reasons, when required by Federal, state or local laws, such as for mandatory reporting of communicable diseases. For additional information, see </w:t>
      </w:r>
      <w:hyperlink r:id="rId20" w:history="1">
        <w:r w:rsidRPr="00255F02">
          <w:rPr>
            <w:rStyle w:val="Hyperlink"/>
          </w:rPr>
          <w:t>42 U.S.C. § 241(d)</w:t>
        </w:r>
      </w:hyperlink>
      <w:r w:rsidR="00385D61">
        <w:t xml:space="preserve">, </w:t>
      </w:r>
      <w:hyperlink r:id="rId21" w:history="1">
        <w:r w:rsidR="00544C05">
          <w:rPr>
            <w:rStyle w:val="Hyperlink"/>
          </w:rPr>
          <w:t>NOT</w:t>
        </w:r>
        <w:r w:rsidR="00E31B96">
          <w:rPr>
            <w:rStyle w:val="Hyperlink"/>
          </w:rPr>
          <w:t>-OD-17-109</w:t>
        </w:r>
      </w:hyperlink>
      <w:r>
        <w:t xml:space="preserve"> and </w:t>
      </w:r>
      <w:r w:rsidR="00385D61">
        <w:t xml:space="preserve">the </w:t>
      </w:r>
      <w:hyperlink r:id="rId22" w:history="1">
        <w:r w:rsidR="00385D61" w:rsidRPr="00607032">
          <w:rPr>
            <w:rStyle w:val="Hyperlink"/>
          </w:rPr>
          <w:t>NIH Grants Policy Statement, Section 4.1.4.1, Certificates of Confidentiality</w:t>
        </w:r>
      </w:hyperlink>
      <w:r w:rsidR="00385D61">
        <w:t>.</w:t>
      </w:r>
    </w:p>
    <w:p w14:paraId="44525E75" w14:textId="77777777" w:rsidR="004C5F2D" w:rsidRDefault="004C5F2D" w:rsidP="004C5F2D">
      <w:pPr>
        <w:pStyle w:val="ListParagraph"/>
      </w:pPr>
    </w:p>
    <w:p w14:paraId="26FE82F3" w14:textId="0DCDCC30" w:rsidR="008A5050" w:rsidRPr="00A67ECC" w:rsidRDefault="008E48DF" w:rsidP="00BA7A5D">
      <w:pPr>
        <w:pStyle w:val="ListParagraph"/>
        <w:numPr>
          <w:ilvl w:val="0"/>
          <w:numId w:val="2"/>
        </w:numPr>
        <w:rPr>
          <w:b/>
          <w:bCs/>
        </w:rPr>
      </w:pPr>
      <w:bookmarkStart w:id="5" w:name="Felxibilitiess_in_planned_monitoring"/>
      <w:r w:rsidRPr="00A67ECC">
        <w:rPr>
          <w:b/>
          <w:bCs/>
        </w:rPr>
        <w:t>Flexibility in</w:t>
      </w:r>
      <w:r w:rsidR="008A5050" w:rsidRPr="00A67ECC">
        <w:rPr>
          <w:b/>
          <w:bCs/>
        </w:rPr>
        <w:t xml:space="preserve"> planned monitoring activities</w:t>
      </w:r>
      <w:bookmarkEnd w:id="5"/>
      <w:r w:rsidR="008A5050" w:rsidRPr="00A67ECC">
        <w:rPr>
          <w:b/>
          <w:bCs/>
        </w:rPr>
        <w:t xml:space="preserve">  </w:t>
      </w:r>
    </w:p>
    <w:p w14:paraId="0CF272F5" w14:textId="13E9BD7C" w:rsidR="004C5F2D" w:rsidRDefault="008E48DF" w:rsidP="008A5050">
      <w:pPr>
        <w:pStyle w:val="ListParagraph"/>
        <w:ind w:left="360"/>
      </w:pPr>
      <w:r>
        <w:t xml:space="preserve">NIH encourages flexibility in monitoring activities when it can be exercised without increased risks to the </w:t>
      </w:r>
      <w:r w:rsidR="001908EB">
        <w:t>participants</w:t>
      </w:r>
      <w:r>
        <w:t xml:space="preserve">. </w:t>
      </w:r>
      <w:r w:rsidR="008A5050">
        <w:t>Th</w:t>
      </w:r>
      <w:r w:rsidR="00B91AD0">
        <w:t>e</w:t>
      </w:r>
      <w:r w:rsidR="008A5050">
        <w:t xml:space="preserve"> recipient institution and </w:t>
      </w:r>
      <w:r w:rsidR="00B91AD0">
        <w:t xml:space="preserve">the investigator </w:t>
      </w:r>
      <w:r w:rsidR="00796F40">
        <w:t>could</w:t>
      </w:r>
      <w:r w:rsidR="008A5050">
        <w:t xml:space="preserve"> consider identifying alternate methods to support continuing, planned monitoring activities. </w:t>
      </w:r>
    </w:p>
    <w:p w14:paraId="4C30C9D7" w14:textId="6C61DB21" w:rsidR="004C5F2D" w:rsidRDefault="008E48DF" w:rsidP="004C5F2D">
      <w:pPr>
        <w:pStyle w:val="ListParagraph"/>
        <w:numPr>
          <w:ilvl w:val="0"/>
          <w:numId w:val="4"/>
        </w:numPr>
      </w:pPr>
      <w:r>
        <w:t xml:space="preserve">Institutions </w:t>
      </w:r>
      <w:r w:rsidR="00796F40">
        <w:t>could</w:t>
      </w:r>
      <w:r>
        <w:t xml:space="preserve"> consider allowing</w:t>
      </w:r>
      <w:r w:rsidR="008A5050">
        <w:t xml:space="preserve"> Data and Safety Monitoring </w:t>
      </w:r>
      <w:r w:rsidR="001908EB">
        <w:t xml:space="preserve">Boards or Committees </w:t>
      </w:r>
      <w:r w:rsidR="008A5050">
        <w:t xml:space="preserve">alternate methods of conducting the required safety review, such as </w:t>
      </w:r>
      <w:r w:rsidR="001908EB">
        <w:t>allowing</w:t>
      </w:r>
      <w:r w:rsidR="008A5050">
        <w:t xml:space="preserve"> virtual meeting</w:t>
      </w:r>
      <w:r w:rsidR="001908EB">
        <w:t>s</w:t>
      </w:r>
      <w:r w:rsidR="004C5F2D">
        <w:t>.</w:t>
      </w:r>
      <w:r w:rsidR="00B91AD0">
        <w:t xml:space="preserve"> </w:t>
      </w:r>
    </w:p>
    <w:p w14:paraId="06BC16B9" w14:textId="5E7D28DD" w:rsidR="008A5050" w:rsidRDefault="001908EB" w:rsidP="004C5F2D">
      <w:pPr>
        <w:pStyle w:val="ListParagraph"/>
        <w:numPr>
          <w:ilvl w:val="0"/>
          <w:numId w:val="4"/>
        </w:numPr>
      </w:pPr>
      <w:r>
        <w:t>O</w:t>
      </w:r>
      <w:r w:rsidR="004C5F2D">
        <w:t>nsite monitoring activities</w:t>
      </w:r>
      <w:r>
        <w:t xml:space="preserve"> </w:t>
      </w:r>
      <w:r w:rsidR="00796F40">
        <w:t>could</w:t>
      </w:r>
      <w:r>
        <w:t xml:space="preserve"> be affected by the public health emergency</w:t>
      </w:r>
      <w:r w:rsidR="004C5F2D">
        <w:t>. The recipient institution and the princip</w:t>
      </w:r>
      <w:r w:rsidR="006A7507">
        <w:t>al</w:t>
      </w:r>
      <w:r w:rsidR="004C5F2D">
        <w:t xml:space="preserve"> investigator </w:t>
      </w:r>
      <w:r w:rsidR="00796F40">
        <w:t>could</w:t>
      </w:r>
      <w:r w:rsidR="004C5F2D">
        <w:t xml:space="preserve"> consider </w:t>
      </w:r>
      <w:r>
        <w:t>working with the</w:t>
      </w:r>
      <w:r w:rsidR="004C5F2D">
        <w:t xml:space="preserve"> sponsor to identify alternate methods of conducting monitoring activities, such as remote monitoring visits. </w:t>
      </w:r>
    </w:p>
    <w:p w14:paraId="78C073F9" w14:textId="0B75A714" w:rsidR="004C5F2D" w:rsidRDefault="001908EB" w:rsidP="00214885">
      <w:pPr>
        <w:ind w:left="360"/>
      </w:pPr>
      <w:bookmarkStart w:id="6" w:name="_Hlk36474577"/>
      <w:r w:rsidRPr="00A16F88">
        <w:t xml:space="preserve">Note that </w:t>
      </w:r>
      <w:r w:rsidR="004C5F2D" w:rsidRPr="00A16F88">
        <w:t xml:space="preserve">alteration </w:t>
      </w:r>
      <w:r w:rsidRPr="00A16F88">
        <w:t>of</w:t>
      </w:r>
      <w:r w:rsidR="004C5F2D" w:rsidRPr="00A16F88">
        <w:t xml:space="preserve"> the DSMP or monitoring activities </w:t>
      </w:r>
      <w:r w:rsidR="00B710F4" w:rsidRPr="00A16F88">
        <w:t>needs to</w:t>
      </w:r>
      <w:r w:rsidR="004C5F2D" w:rsidRPr="00A16F88">
        <w:t xml:space="preserve"> be communicated to the NIH Program Officer and the </w:t>
      </w:r>
      <w:r w:rsidR="004C5F2D" w:rsidRPr="005B1400">
        <w:t xml:space="preserve">reviewing IRB(s). </w:t>
      </w:r>
    </w:p>
    <w:p w14:paraId="261494EE" w14:textId="58E4E525" w:rsidR="00E573D7" w:rsidRPr="00A16F88" w:rsidRDefault="00E573D7" w:rsidP="00A16F88">
      <w:pPr>
        <w:pStyle w:val="ListParagraph"/>
        <w:numPr>
          <w:ilvl w:val="0"/>
          <w:numId w:val="2"/>
        </w:numPr>
        <w:rPr>
          <w:rFonts w:cstheme="minorHAnsi"/>
          <w:b/>
          <w:bCs/>
        </w:rPr>
      </w:pPr>
      <w:bookmarkStart w:id="7" w:name="Other_relevant_information"/>
      <w:bookmarkEnd w:id="6"/>
      <w:r w:rsidRPr="00A16F88">
        <w:rPr>
          <w:rFonts w:cstheme="minorHAnsi"/>
          <w:b/>
          <w:bCs/>
        </w:rPr>
        <w:t>Other relevant information</w:t>
      </w:r>
      <w:bookmarkEnd w:id="7"/>
      <w:r w:rsidRPr="00A16F88">
        <w:rPr>
          <w:rFonts w:cstheme="minorHAnsi"/>
          <w:b/>
          <w:bCs/>
        </w:rPr>
        <w:t>:</w:t>
      </w:r>
    </w:p>
    <w:p w14:paraId="3E522956" w14:textId="0469FFAB" w:rsidR="008A1ADF" w:rsidRDefault="00172DDA" w:rsidP="00214885">
      <w:pPr>
        <w:pStyle w:val="ListParagraph"/>
        <w:numPr>
          <w:ilvl w:val="1"/>
          <w:numId w:val="2"/>
        </w:numPr>
        <w:spacing w:after="0" w:line="240" w:lineRule="auto"/>
        <w:ind w:left="720"/>
        <w:contextualSpacing w:val="0"/>
        <w:rPr>
          <w:rFonts w:eastAsia="Times New Roman"/>
        </w:rPr>
      </w:pPr>
      <w:hyperlink r:id="rId23" w:history="1">
        <w:r w:rsidR="008A1ADF" w:rsidRPr="008A1ADF">
          <w:rPr>
            <w:rStyle w:val="Hyperlink"/>
            <w:rFonts w:eastAsia="Times New Roman"/>
          </w:rPr>
          <w:t>Coronavirus Disease 2019 (COVID-19): Information for NIH Applicants and Recipients of NIH Funding</w:t>
        </w:r>
      </w:hyperlink>
      <w:r w:rsidR="008A1ADF" w:rsidRPr="008A1ADF">
        <w:rPr>
          <w:rFonts w:eastAsia="Times New Roman"/>
        </w:rPr>
        <w:t xml:space="preserve"> </w:t>
      </w:r>
    </w:p>
    <w:p w14:paraId="7181EBF4" w14:textId="77777777" w:rsidR="00D86F4A" w:rsidRDefault="00D86F4A" w:rsidP="00214885">
      <w:pPr>
        <w:pStyle w:val="ListParagraph"/>
        <w:spacing w:after="0" w:line="240" w:lineRule="auto"/>
        <w:ind w:hanging="360"/>
        <w:contextualSpacing w:val="0"/>
        <w:rPr>
          <w:rFonts w:eastAsia="Times New Roman"/>
        </w:rPr>
      </w:pPr>
    </w:p>
    <w:p w14:paraId="5ED74B20" w14:textId="7590BDF8" w:rsidR="00D86F4A" w:rsidRPr="00EB3894" w:rsidRDefault="00EB3894" w:rsidP="00214885">
      <w:pPr>
        <w:pStyle w:val="ListParagraph"/>
        <w:numPr>
          <w:ilvl w:val="1"/>
          <w:numId w:val="2"/>
        </w:numPr>
        <w:spacing w:after="0" w:line="240" w:lineRule="auto"/>
        <w:ind w:left="720"/>
        <w:contextualSpacing w:val="0"/>
        <w:rPr>
          <w:rStyle w:val="Hyperlink"/>
          <w:rFonts w:eastAsia="Times New Roman" w:cstheme="minorHAnsi"/>
        </w:rPr>
      </w:pPr>
      <w:r>
        <w:rPr>
          <w:rFonts w:cstheme="minorHAnsi"/>
          <w:shd w:val="clear" w:color="auto" w:fill="FFFFFF"/>
        </w:rPr>
        <w:fldChar w:fldCharType="begin"/>
      </w:r>
      <w:r>
        <w:rPr>
          <w:rFonts w:cstheme="minorHAnsi"/>
          <w:shd w:val="clear" w:color="auto" w:fill="FFFFFF"/>
        </w:rPr>
        <w:instrText xml:space="preserve"> HYPERLINK "https://grants.nih.gov/grants/guide/notice-files/NOT-OD-20-087.html" </w:instrText>
      </w:r>
      <w:r>
        <w:rPr>
          <w:rFonts w:cstheme="minorHAnsi"/>
          <w:shd w:val="clear" w:color="auto" w:fill="FFFFFF"/>
        </w:rPr>
        <w:fldChar w:fldCharType="separate"/>
      </w:r>
      <w:r w:rsidR="00D86F4A" w:rsidRPr="00EB3894">
        <w:rPr>
          <w:rStyle w:val="Hyperlink"/>
          <w:rFonts w:cstheme="minorHAnsi"/>
          <w:shd w:val="clear" w:color="auto" w:fill="FFFFFF"/>
        </w:rPr>
        <w:t>Guidance for NIH-funded Clinical Trials and Human Subjects Studies Affected by COVID-19 (</w:t>
      </w:r>
      <w:r w:rsidR="00D86F4A" w:rsidRPr="00EB3894">
        <w:rPr>
          <w:rStyle w:val="Hyperlink"/>
          <w:rFonts w:cstheme="minorHAnsi"/>
        </w:rPr>
        <w:t>NOT-OD-20-087)</w:t>
      </w:r>
    </w:p>
    <w:p w14:paraId="03BE96C9" w14:textId="0471B5EF" w:rsidR="00A16F88" w:rsidRPr="00A16F88" w:rsidRDefault="00EB3894" w:rsidP="00214885">
      <w:pPr>
        <w:pStyle w:val="ListParagraph"/>
        <w:ind w:hanging="360"/>
        <w:rPr>
          <w:rFonts w:eastAsia="Times New Roman" w:cstheme="minorHAnsi"/>
        </w:rPr>
      </w:pPr>
      <w:r>
        <w:rPr>
          <w:rFonts w:cstheme="minorHAnsi"/>
          <w:shd w:val="clear" w:color="auto" w:fill="FFFFFF"/>
        </w:rPr>
        <w:fldChar w:fldCharType="end"/>
      </w:r>
    </w:p>
    <w:p w14:paraId="741FD1C0" w14:textId="658EC59D" w:rsidR="00A16F88" w:rsidRPr="00BC7DEE" w:rsidRDefault="00BC7DEE" w:rsidP="00214885">
      <w:pPr>
        <w:pStyle w:val="ListParagraph"/>
        <w:numPr>
          <w:ilvl w:val="1"/>
          <w:numId w:val="2"/>
        </w:numPr>
        <w:spacing w:after="0" w:line="240" w:lineRule="auto"/>
        <w:ind w:left="720"/>
        <w:contextualSpacing w:val="0"/>
        <w:rPr>
          <w:rStyle w:val="Hyperlink"/>
          <w:rFonts w:eastAsia="Times New Roman" w:cstheme="minorHAnsi"/>
        </w:rPr>
      </w:pPr>
      <w:r>
        <w:fldChar w:fldCharType="begin"/>
      </w:r>
      <w:r>
        <w:instrText xml:space="preserve"> HYPERLINK "https://grants.nih.gov/grants/guide/notice-files/NOT-OD-20-086.html" </w:instrText>
      </w:r>
      <w:r>
        <w:fldChar w:fldCharType="separate"/>
      </w:r>
      <w:r w:rsidR="00A16F88" w:rsidRPr="00BC7DEE">
        <w:rPr>
          <w:rStyle w:val="Hyperlink"/>
        </w:rPr>
        <w:t>Flexibilities Available to Applicants and Recipients of Federal Financial Assistance Affected by COVID-19 (NOT-OD-20-086)</w:t>
      </w:r>
    </w:p>
    <w:p w14:paraId="5B82FBF0" w14:textId="3E96761C" w:rsidR="00C63010" w:rsidRPr="006D25BF" w:rsidRDefault="00BC7DEE" w:rsidP="00214885">
      <w:pPr>
        <w:pStyle w:val="ListParagraph"/>
        <w:spacing w:after="0" w:line="240" w:lineRule="auto"/>
        <w:ind w:hanging="360"/>
        <w:contextualSpacing w:val="0"/>
      </w:pPr>
      <w:r>
        <w:fldChar w:fldCharType="end"/>
      </w:r>
    </w:p>
    <w:p w14:paraId="2AEE416F" w14:textId="45A840DC" w:rsidR="00E573D7" w:rsidRPr="006D25BF" w:rsidRDefault="00172DDA" w:rsidP="00214885">
      <w:pPr>
        <w:pStyle w:val="ListParagraph"/>
        <w:numPr>
          <w:ilvl w:val="1"/>
          <w:numId w:val="2"/>
        </w:numPr>
        <w:spacing w:after="0"/>
        <w:ind w:left="720"/>
        <w:rPr>
          <w:rStyle w:val="Hyperlink"/>
          <w:b/>
          <w:bCs/>
          <w:color w:val="auto"/>
          <w:u w:val="none"/>
        </w:rPr>
      </w:pPr>
      <w:hyperlink r:id="rId24" w:history="1">
        <w:r w:rsidR="008A1ADF" w:rsidRPr="009244A7">
          <w:rPr>
            <w:rStyle w:val="Hyperlink"/>
          </w:rPr>
          <w:t>FDA guidance on conduct of clinical trials of medical products during COVID-19 pandemic</w:t>
        </w:r>
      </w:hyperlink>
    </w:p>
    <w:p w14:paraId="62CD0EC3" w14:textId="77777777" w:rsidR="006D25BF" w:rsidRPr="006D25BF" w:rsidRDefault="006D25BF" w:rsidP="00214885">
      <w:pPr>
        <w:spacing w:after="0"/>
        <w:ind w:left="720" w:hanging="360"/>
        <w:rPr>
          <w:b/>
          <w:bCs/>
        </w:rPr>
      </w:pPr>
    </w:p>
    <w:p w14:paraId="271B0E6E" w14:textId="7A35EF2D" w:rsidR="00E573D7" w:rsidRDefault="00E573D7" w:rsidP="00214885">
      <w:pPr>
        <w:pStyle w:val="ListParagraph"/>
        <w:numPr>
          <w:ilvl w:val="1"/>
          <w:numId w:val="2"/>
        </w:numPr>
        <w:spacing w:after="0"/>
        <w:ind w:left="720"/>
      </w:pPr>
      <w:r>
        <w:t xml:space="preserve">HHS Office of Civil Rights (OCR) has announced </w:t>
      </w:r>
      <w:hyperlink r:id="rId25" w:history="1">
        <w:r w:rsidRPr="00D27164">
          <w:rPr>
            <w:rStyle w:val="Hyperlink"/>
          </w:rPr>
          <w:t>notification of enforcement discretion for telehealth remote communications during</w:t>
        </w:r>
        <w:r w:rsidR="00D27164" w:rsidRPr="00D27164">
          <w:rPr>
            <w:rStyle w:val="Hyperlink"/>
          </w:rPr>
          <w:t xml:space="preserve"> </w:t>
        </w:r>
        <w:r w:rsidRPr="00D27164">
          <w:rPr>
            <w:rStyle w:val="Hyperlink"/>
          </w:rPr>
          <w:t>the COVID-19 nationwide public health emergency</w:t>
        </w:r>
      </w:hyperlink>
      <w:r>
        <w:t xml:space="preserve"> </w:t>
      </w:r>
    </w:p>
    <w:p w14:paraId="0C5DC2C5" w14:textId="77777777" w:rsidR="003B6210" w:rsidRDefault="003B6210" w:rsidP="00214885">
      <w:pPr>
        <w:pStyle w:val="ListParagraph"/>
        <w:ind w:hanging="360"/>
      </w:pPr>
    </w:p>
    <w:p w14:paraId="4DFA09FB" w14:textId="1E871CC8" w:rsidR="003B6210" w:rsidRPr="00214885" w:rsidRDefault="00172DDA" w:rsidP="00214885">
      <w:pPr>
        <w:pStyle w:val="ListParagraph"/>
        <w:numPr>
          <w:ilvl w:val="1"/>
          <w:numId w:val="2"/>
        </w:numPr>
        <w:ind w:left="720"/>
        <w:rPr>
          <w:rStyle w:val="Hyperlink"/>
          <w:color w:val="auto"/>
          <w:u w:val="none"/>
        </w:rPr>
      </w:pPr>
      <w:hyperlink r:id="rId26" w:history="1">
        <w:r w:rsidR="003B6210" w:rsidRPr="003B6210">
          <w:rPr>
            <w:rStyle w:val="Hyperlink"/>
          </w:rPr>
          <w:t>Waiver of HIPPAA Sanctions and Penalties During a Nationwide Public Health Emergency</w:t>
        </w:r>
      </w:hyperlink>
    </w:p>
    <w:p w14:paraId="6EE91356" w14:textId="77777777" w:rsidR="00214885" w:rsidRPr="00214885" w:rsidRDefault="00214885" w:rsidP="00214885">
      <w:pPr>
        <w:pStyle w:val="ListParagraph"/>
        <w:ind w:hanging="360"/>
        <w:rPr>
          <w:rStyle w:val="Hyperlink"/>
          <w:color w:val="auto"/>
          <w:u w:val="none"/>
        </w:rPr>
      </w:pPr>
    </w:p>
    <w:p w14:paraId="4067F32E" w14:textId="1ED8E6E4" w:rsidR="00214885" w:rsidRDefault="00172DDA" w:rsidP="00214885">
      <w:pPr>
        <w:pStyle w:val="ListParagraph"/>
        <w:numPr>
          <w:ilvl w:val="1"/>
          <w:numId w:val="2"/>
        </w:numPr>
        <w:ind w:left="720"/>
        <w:rPr>
          <w:rStyle w:val="Hyperlink"/>
        </w:rPr>
      </w:pPr>
      <w:hyperlink r:id="rId27" w:history="1">
        <w:r w:rsidR="00214885" w:rsidRPr="00CC548F">
          <w:rPr>
            <w:rStyle w:val="Hyperlink"/>
          </w:rPr>
          <w:t>OHRP Exception to the Single IRB Review Requirements for Certain HHS-Conducted or -Supported Cooperative Research Activities Subject to the 2018 Requirements During the Coronavirus Disease 2019 (COVID-19) Public Health Emergency</w:t>
        </w:r>
      </w:hyperlink>
    </w:p>
    <w:p w14:paraId="67865777" w14:textId="77777777" w:rsidR="00CC548F" w:rsidRDefault="00CC548F" w:rsidP="00CC548F">
      <w:pPr>
        <w:pStyle w:val="ListParagraph"/>
        <w:rPr>
          <w:rStyle w:val="Hyperlink"/>
        </w:rPr>
      </w:pPr>
    </w:p>
    <w:p w14:paraId="021E82A3" w14:textId="266EF116" w:rsidR="00CC548F" w:rsidRDefault="00172DDA" w:rsidP="00214885">
      <w:pPr>
        <w:pStyle w:val="ListParagraph"/>
        <w:numPr>
          <w:ilvl w:val="1"/>
          <w:numId w:val="2"/>
        </w:numPr>
        <w:ind w:left="720"/>
        <w:rPr>
          <w:rStyle w:val="Hyperlink"/>
        </w:rPr>
      </w:pPr>
      <w:hyperlink r:id="rId28" w:history="1">
        <w:r w:rsidR="00CC548F" w:rsidRPr="002B6A07">
          <w:rPr>
            <w:rStyle w:val="Hyperlink"/>
          </w:rPr>
          <w:t>Exceptions to Use of a Single IRB During the Cor</w:t>
        </w:r>
        <w:r w:rsidR="002B6A07" w:rsidRPr="002B6A07">
          <w:rPr>
            <w:rStyle w:val="Hyperlink"/>
          </w:rPr>
          <w:t>onavirus Disease 2019 (COVID-19) Public Health Emergency</w:t>
        </w:r>
      </w:hyperlink>
      <w:r w:rsidR="002B6A07">
        <w:rPr>
          <w:rStyle w:val="Hyperlink"/>
        </w:rPr>
        <w:t xml:space="preserve"> (NOT-OD-21-006)</w:t>
      </w:r>
    </w:p>
    <w:p w14:paraId="45A9BD60" w14:textId="77777777" w:rsidR="002929D2" w:rsidRDefault="002929D2" w:rsidP="002929D2">
      <w:pPr>
        <w:pStyle w:val="ListParagraph"/>
        <w:rPr>
          <w:rStyle w:val="Hyperlink"/>
        </w:rPr>
      </w:pPr>
    </w:p>
    <w:p w14:paraId="720F07C3" w14:textId="141CA2B1" w:rsidR="002929D2" w:rsidRPr="00214885" w:rsidRDefault="00172DDA" w:rsidP="00214885">
      <w:pPr>
        <w:pStyle w:val="ListParagraph"/>
        <w:numPr>
          <w:ilvl w:val="1"/>
          <w:numId w:val="2"/>
        </w:numPr>
        <w:ind w:left="720"/>
        <w:rPr>
          <w:rStyle w:val="Hyperlink"/>
        </w:rPr>
      </w:pPr>
      <w:hyperlink r:id="rId29" w:history="1">
        <w:r w:rsidR="002929D2" w:rsidRPr="002929D2">
          <w:rPr>
            <w:rStyle w:val="Hyperlink"/>
          </w:rPr>
          <w:t xml:space="preserve">FDA Guidance for Industry </w:t>
        </w:r>
        <w:bookmarkStart w:id="8" w:name="_Hlk61935050"/>
        <w:r w:rsidR="002929D2" w:rsidRPr="002929D2">
          <w:rPr>
            <w:rStyle w:val="Hyperlink"/>
          </w:rPr>
          <w:t>Protecting Participants in Bioequivalence Studies for Abbreviated New Drug Applications During the COVID-19 Public Health Emergency</w:t>
        </w:r>
        <w:bookmarkEnd w:id="8"/>
      </w:hyperlink>
    </w:p>
    <w:p w14:paraId="39332E5C" w14:textId="77777777" w:rsidR="00606475" w:rsidRDefault="00606475" w:rsidP="00214885">
      <w:pPr>
        <w:pStyle w:val="ListParagraph"/>
        <w:ind w:hanging="360"/>
      </w:pPr>
    </w:p>
    <w:bookmarkStart w:id="9" w:name="Other"/>
    <w:p w14:paraId="14C08822" w14:textId="00ADDC65" w:rsidR="00606475" w:rsidRPr="00214885" w:rsidRDefault="00014054" w:rsidP="00606475">
      <w:pPr>
        <w:pStyle w:val="ListParagraph"/>
        <w:numPr>
          <w:ilvl w:val="0"/>
          <w:numId w:val="2"/>
        </w:numPr>
        <w:rPr>
          <w:rFonts w:cstheme="minorHAnsi"/>
          <w:b/>
          <w:bCs/>
        </w:rPr>
      </w:pPr>
      <w:r w:rsidRPr="00214885">
        <w:rPr>
          <w:rFonts w:cstheme="minorHAnsi"/>
          <w:b/>
          <w:bCs/>
        </w:rPr>
        <w:fldChar w:fldCharType="begin"/>
      </w:r>
      <w:r w:rsidRPr="00214885">
        <w:rPr>
          <w:rFonts w:cstheme="minorHAnsi"/>
          <w:b/>
          <w:bCs/>
        </w:rPr>
        <w:instrText xml:space="preserve"> HYPERLINK  \l "_top" </w:instrText>
      </w:r>
      <w:r w:rsidRPr="00214885">
        <w:rPr>
          <w:rFonts w:cstheme="minorHAnsi"/>
          <w:b/>
          <w:bCs/>
        </w:rPr>
        <w:fldChar w:fldCharType="separate"/>
      </w:r>
      <w:bookmarkEnd w:id="9"/>
      <w:r w:rsidRPr="00214885">
        <w:rPr>
          <w:rFonts w:cstheme="minorHAnsi"/>
          <w:b/>
          <w:bCs/>
        </w:rPr>
        <w:t>Additional Resources</w:t>
      </w:r>
      <w:r w:rsidRPr="00214885">
        <w:rPr>
          <w:rFonts w:cstheme="minorHAnsi"/>
          <w:b/>
          <w:bCs/>
        </w:rPr>
        <w:fldChar w:fldCharType="end"/>
      </w:r>
      <w:r w:rsidR="00606475" w:rsidRPr="00214885">
        <w:rPr>
          <w:rFonts w:cstheme="minorHAnsi"/>
          <w:b/>
          <w:bCs/>
        </w:rPr>
        <w:t>:</w:t>
      </w:r>
    </w:p>
    <w:p w14:paraId="60DA7AA8" w14:textId="19BFBD43" w:rsidR="00606475" w:rsidRDefault="00606475" w:rsidP="00697A0A">
      <w:pPr>
        <w:ind w:left="360"/>
      </w:pPr>
      <w:r w:rsidRPr="00475622">
        <w:t xml:space="preserve">NIH does not endorse any specific </w:t>
      </w:r>
      <w:r w:rsidR="00475622">
        <w:t>COVID-19</w:t>
      </w:r>
      <w:r w:rsidRPr="00475622">
        <w:t xml:space="preserve"> plan, but provides</w:t>
      </w:r>
      <w:r w:rsidR="00475622">
        <w:t xml:space="preserve"> the following</w:t>
      </w:r>
      <w:r w:rsidRPr="00475622">
        <w:t xml:space="preserve"> </w:t>
      </w:r>
      <w:r w:rsidR="00717E5E">
        <w:t>examples of various approaches</w:t>
      </w:r>
      <w:r w:rsidR="00F81C76">
        <w:t>:</w:t>
      </w:r>
    </w:p>
    <w:p w14:paraId="789DB41C" w14:textId="64DCA890" w:rsidR="00606475" w:rsidRPr="000E2D7F" w:rsidRDefault="000E2D7F" w:rsidP="00697A0A">
      <w:pPr>
        <w:pStyle w:val="ListParagraph"/>
        <w:numPr>
          <w:ilvl w:val="1"/>
          <w:numId w:val="2"/>
        </w:numPr>
        <w:rPr>
          <w:rStyle w:val="Hyperlink"/>
        </w:rPr>
      </w:pPr>
      <w:r>
        <w:fldChar w:fldCharType="begin"/>
      </w:r>
      <w:r w:rsidR="0018374E">
        <w:instrText>HYPERLINK "https://www.hopkinsmedicine.org/institutional_review_board/news/covid19_information/"</w:instrText>
      </w:r>
      <w:r>
        <w:fldChar w:fldCharType="separate"/>
      </w:r>
      <w:r w:rsidR="00606475" w:rsidRPr="000E2D7F">
        <w:rPr>
          <w:rStyle w:val="Hyperlink"/>
        </w:rPr>
        <w:t xml:space="preserve">Johns Hopkins (JH) </w:t>
      </w:r>
      <w:r w:rsidRPr="000E2D7F">
        <w:rPr>
          <w:rStyle w:val="Hyperlink"/>
        </w:rPr>
        <w:t>University</w:t>
      </w:r>
      <w:r w:rsidR="00606475" w:rsidRPr="000E2D7F">
        <w:rPr>
          <w:rStyle w:val="Hyperlink"/>
        </w:rPr>
        <w:t xml:space="preserve"> </w:t>
      </w:r>
      <w:r w:rsidRPr="000E2D7F">
        <w:rPr>
          <w:rStyle w:val="Hyperlink"/>
        </w:rPr>
        <w:t xml:space="preserve">COVID-19 </w:t>
      </w:r>
      <w:r w:rsidR="00606475" w:rsidRPr="000E2D7F">
        <w:rPr>
          <w:rStyle w:val="Hyperlink"/>
        </w:rPr>
        <w:t xml:space="preserve">Research </w:t>
      </w:r>
      <w:r w:rsidRPr="000E2D7F">
        <w:rPr>
          <w:rStyle w:val="Hyperlink"/>
        </w:rPr>
        <w:t>Information</w:t>
      </w:r>
      <w:r w:rsidR="007742E0">
        <w:rPr>
          <w:rStyle w:val="Hyperlink"/>
        </w:rPr>
        <w:t xml:space="preserve"> </w:t>
      </w:r>
    </w:p>
    <w:p w14:paraId="551392DA" w14:textId="5D3D1FD2" w:rsidR="00606475" w:rsidRPr="007742E0" w:rsidRDefault="000E2D7F" w:rsidP="00697A0A">
      <w:pPr>
        <w:pStyle w:val="ListParagraph"/>
        <w:numPr>
          <w:ilvl w:val="1"/>
          <w:numId w:val="2"/>
        </w:numPr>
      </w:pPr>
      <w:r>
        <w:fldChar w:fldCharType="end"/>
      </w:r>
      <w:hyperlink r:id="rId30" w:history="1">
        <w:r w:rsidR="00606475" w:rsidRPr="007742E0">
          <w:rPr>
            <w:rStyle w:val="Hyperlink"/>
          </w:rPr>
          <w:t xml:space="preserve">Washington University in St. Louis </w:t>
        </w:r>
        <w:r w:rsidRPr="007742E0">
          <w:rPr>
            <w:rStyle w:val="Hyperlink"/>
          </w:rPr>
          <w:t xml:space="preserve">Guidance for </w:t>
        </w:r>
        <w:r w:rsidR="007742E0" w:rsidRPr="007742E0">
          <w:rPr>
            <w:rStyle w:val="Hyperlink"/>
          </w:rPr>
          <w:t>Researchers on COVID-19</w:t>
        </w:r>
      </w:hyperlink>
      <w:r w:rsidR="007742E0">
        <w:t xml:space="preserve"> </w:t>
      </w:r>
    </w:p>
    <w:p w14:paraId="6AF5989F" w14:textId="003B86B7" w:rsidR="00606475" w:rsidRPr="00CD7893" w:rsidRDefault="00CD7893" w:rsidP="00697A0A">
      <w:pPr>
        <w:pStyle w:val="ListParagraph"/>
        <w:numPr>
          <w:ilvl w:val="1"/>
          <w:numId w:val="2"/>
        </w:numPr>
        <w:rPr>
          <w:rStyle w:val="Hyperlink"/>
        </w:rPr>
      </w:pPr>
      <w:r>
        <w:fldChar w:fldCharType="begin"/>
      </w:r>
      <w:r>
        <w:instrText xml:space="preserve"> HYPERLINK "https://coronavirus.miami.edu/information-for/faculty-and-researchers/index.html" </w:instrText>
      </w:r>
      <w:r>
        <w:fldChar w:fldCharType="separate"/>
      </w:r>
      <w:r w:rsidR="00606475" w:rsidRPr="00CD7893">
        <w:rPr>
          <w:rStyle w:val="Hyperlink"/>
        </w:rPr>
        <w:t xml:space="preserve">University of Miami COVID-19 Information for </w:t>
      </w:r>
      <w:r w:rsidRPr="00CD7893">
        <w:rPr>
          <w:rStyle w:val="Hyperlink"/>
        </w:rPr>
        <w:t xml:space="preserve">Faculty and </w:t>
      </w:r>
      <w:r w:rsidR="00606475" w:rsidRPr="00CD7893">
        <w:rPr>
          <w:rStyle w:val="Hyperlink"/>
        </w:rPr>
        <w:t xml:space="preserve">Researchers </w:t>
      </w:r>
    </w:p>
    <w:p w14:paraId="6AED0D63" w14:textId="3C2D7BD2" w:rsidR="00606475" w:rsidRPr="00697A0A" w:rsidRDefault="00CD7893" w:rsidP="00697A0A">
      <w:pPr>
        <w:pStyle w:val="ListParagraph"/>
        <w:numPr>
          <w:ilvl w:val="1"/>
          <w:numId w:val="2"/>
        </w:numPr>
        <w:shd w:val="clear" w:color="auto" w:fill="FFFFFF"/>
        <w:spacing w:after="225"/>
        <w:rPr>
          <w:rStyle w:val="Hyperlink"/>
          <w:rFonts w:cstheme="minorHAnsi"/>
          <w:color w:val="A51C30"/>
          <w:u w:val="none"/>
        </w:rPr>
      </w:pPr>
      <w:r>
        <w:fldChar w:fldCharType="end"/>
      </w:r>
      <w:hyperlink r:id="rId31" w:history="1">
        <w:r w:rsidRPr="00CD7893">
          <w:rPr>
            <w:rStyle w:val="Hyperlink"/>
          </w:rPr>
          <w:t xml:space="preserve">University of </w:t>
        </w:r>
        <w:r w:rsidR="00606475" w:rsidRPr="00CD7893">
          <w:rPr>
            <w:rStyle w:val="Hyperlink"/>
            <w:rFonts w:cstheme="minorHAnsi"/>
          </w:rPr>
          <w:t xml:space="preserve">Washington </w:t>
        </w:r>
        <w:r w:rsidRPr="00CD7893">
          <w:rPr>
            <w:rStyle w:val="Hyperlink"/>
            <w:rFonts w:cstheme="minorHAnsi"/>
          </w:rPr>
          <w:t>COVID Related Restrictions on Human Subjects Research</w:t>
        </w:r>
      </w:hyperlink>
      <w:r w:rsidRPr="00CD7893">
        <w:rPr>
          <w:rFonts w:cstheme="minorHAnsi"/>
        </w:rPr>
        <w:t xml:space="preserve"> </w:t>
      </w:r>
      <w:r w:rsidR="00606475" w:rsidRPr="00697A0A">
        <w:rPr>
          <w:rStyle w:val="Hyperlink"/>
          <w:rFonts w:cstheme="minorHAnsi"/>
        </w:rPr>
        <w:t xml:space="preserve"> </w:t>
      </w:r>
    </w:p>
    <w:p w14:paraId="44CFE7DF" w14:textId="77777777" w:rsidR="00606475" w:rsidRDefault="00606475" w:rsidP="00606475">
      <w:pPr>
        <w:pStyle w:val="ListParagraph"/>
        <w:ind w:left="1080"/>
      </w:pPr>
    </w:p>
    <w:p w14:paraId="7B3CDAF3" w14:textId="77777777" w:rsidR="00472FB3" w:rsidRDefault="00472FB3" w:rsidP="00214885">
      <w:pPr>
        <w:ind w:left="360"/>
      </w:pPr>
      <w:r>
        <w:t>NIH does not endorse any specific tools, but provides a sample that may assist investigators who are conducting research during the public health emergency:</w:t>
      </w:r>
    </w:p>
    <w:p w14:paraId="1DA967E9" w14:textId="67C3847F" w:rsidR="00110610" w:rsidRDefault="00172DDA" w:rsidP="00472FB3">
      <w:pPr>
        <w:ind w:left="720"/>
      </w:pPr>
      <w:hyperlink r:id="rId32" w:history="1">
        <w:r w:rsidR="00110610" w:rsidRPr="00110610">
          <w:rPr>
            <w:rStyle w:val="Hyperlink"/>
          </w:rPr>
          <w:t>Multi-Regional Clinical Trials (MRCT) Center COVID-19 Clinical Research flyers</w:t>
        </w:r>
      </w:hyperlink>
    </w:p>
    <w:p w14:paraId="6A57B7EF" w14:textId="77777777" w:rsidR="007C40B9" w:rsidRDefault="007C40B9" w:rsidP="00255F02">
      <w:pPr>
        <w:pStyle w:val="ListParagraph"/>
      </w:pPr>
    </w:p>
    <w:p w14:paraId="4A59EBA6" w14:textId="77777777" w:rsidR="00E573D7" w:rsidRPr="00E573D7" w:rsidRDefault="00E573D7" w:rsidP="00A16F88">
      <w:pPr>
        <w:pStyle w:val="ListParagraph"/>
        <w:ind w:left="1080"/>
        <w:rPr>
          <w:rFonts w:cstheme="minorHAnsi"/>
        </w:rPr>
      </w:pPr>
    </w:p>
    <w:p w14:paraId="5FAD3965" w14:textId="021D4736" w:rsidR="00496D53" w:rsidRPr="00496D53" w:rsidRDefault="00496D53" w:rsidP="009244A7">
      <w:pPr>
        <w:pStyle w:val="ListParagraph"/>
        <w:ind w:left="1080"/>
      </w:pPr>
    </w:p>
    <w:sectPr w:rsidR="00496D53" w:rsidRPr="00496D5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4311" w14:textId="77777777" w:rsidR="000F3B20" w:rsidRDefault="000F3B20" w:rsidP="00A80BFC">
      <w:pPr>
        <w:spacing w:after="0" w:line="240" w:lineRule="auto"/>
      </w:pPr>
      <w:r>
        <w:separator/>
      </w:r>
    </w:p>
  </w:endnote>
  <w:endnote w:type="continuationSeparator" w:id="0">
    <w:p w14:paraId="49765CA9" w14:textId="77777777" w:rsidR="000F3B20" w:rsidRDefault="000F3B20" w:rsidP="00A8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FD9" w14:textId="3EE5D3E3" w:rsidR="00A80BFC" w:rsidRDefault="00441A39">
    <w:pPr>
      <w:pStyle w:val="Footer"/>
    </w:pPr>
    <w:r>
      <w:t>NIH Office of Extramural Research</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281E19">
      <w:t xml:space="preserve">March </w:t>
    </w:r>
    <w:r w:rsidR="007742E0">
      <w:t>14</w:t>
    </w:r>
    <w:r>
      <w:t>, 202</w:t>
    </w:r>
    <w:r w:rsidR="00281E1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4AF7" w14:textId="77777777" w:rsidR="000F3B20" w:rsidRDefault="000F3B20" w:rsidP="00A80BFC">
      <w:pPr>
        <w:spacing w:after="0" w:line="240" w:lineRule="auto"/>
      </w:pPr>
      <w:r>
        <w:separator/>
      </w:r>
    </w:p>
  </w:footnote>
  <w:footnote w:type="continuationSeparator" w:id="0">
    <w:p w14:paraId="22C37744" w14:textId="77777777" w:rsidR="000F3B20" w:rsidRDefault="000F3B20" w:rsidP="00A80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E7A"/>
    <w:multiLevelType w:val="hybridMultilevel"/>
    <w:tmpl w:val="E458A94C"/>
    <w:lvl w:ilvl="0" w:tplc="04090019">
      <w:start w:val="1"/>
      <w:numFmt w:val="lowerLetter"/>
      <w:lvlText w:val="%1."/>
      <w:lvlJc w:val="left"/>
      <w:pPr>
        <w:ind w:left="72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4B62"/>
    <w:multiLevelType w:val="hybridMultilevel"/>
    <w:tmpl w:val="51660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6C79"/>
    <w:multiLevelType w:val="hybridMultilevel"/>
    <w:tmpl w:val="9368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63BE3"/>
    <w:multiLevelType w:val="multilevel"/>
    <w:tmpl w:val="57E8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C5B5A"/>
    <w:multiLevelType w:val="hybridMultilevel"/>
    <w:tmpl w:val="E458A9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A5FB3"/>
    <w:multiLevelType w:val="hybridMultilevel"/>
    <w:tmpl w:val="5996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056D31"/>
    <w:multiLevelType w:val="hybridMultilevel"/>
    <w:tmpl w:val="9C923A76"/>
    <w:lvl w:ilvl="0" w:tplc="0409000F">
      <w:start w:val="1"/>
      <w:numFmt w:val="decimal"/>
      <w:lvlText w:val="%1."/>
      <w:lvlJc w:val="left"/>
      <w:pPr>
        <w:ind w:left="360" w:hanging="360"/>
      </w:pPr>
      <w:rPr>
        <w:rFonts w:hint="default"/>
      </w:rPr>
    </w:lvl>
    <w:lvl w:ilvl="1" w:tplc="49B617D6">
      <w:start w:val="1"/>
      <w:numFmt w:val="lowerLetter"/>
      <w:lvlText w:val="%2."/>
      <w:lvlJc w:val="left"/>
      <w:pPr>
        <w:ind w:left="1080" w:hanging="360"/>
      </w:pPr>
      <w:rPr>
        <w:b w:val="0"/>
        <w:bCs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FC"/>
    <w:rsid w:val="000058AE"/>
    <w:rsid w:val="00014054"/>
    <w:rsid w:val="000333E4"/>
    <w:rsid w:val="00036B47"/>
    <w:rsid w:val="00055B0C"/>
    <w:rsid w:val="00056945"/>
    <w:rsid w:val="00061CDD"/>
    <w:rsid w:val="00063FB6"/>
    <w:rsid w:val="000676A2"/>
    <w:rsid w:val="000A3801"/>
    <w:rsid w:val="000E1BC5"/>
    <w:rsid w:val="000E2D7F"/>
    <w:rsid w:val="000E78BF"/>
    <w:rsid w:val="000F3B20"/>
    <w:rsid w:val="0010218D"/>
    <w:rsid w:val="001027C8"/>
    <w:rsid w:val="00110610"/>
    <w:rsid w:val="00111DFE"/>
    <w:rsid w:val="00115725"/>
    <w:rsid w:val="00120057"/>
    <w:rsid w:val="00122459"/>
    <w:rsid w:val="00122E46"/>
    <w:rsid w:val="001270B8"/>
    <w:rsid w:val="00145814"/>
    <w:rsid w:val="001465FF"/>
    <w:rsid w:val="001514B2"/>
    <w:rsid w:val="00161DB1"/>
    <w:rsid w:val="00172DDA"/>
    <w:rsid w:val="001739C0"/>
    <w:rsid w:val="0018374E"/>
    <w:rsid w:val="001908EB"/>
    <w:rsid w:val="001929FC"/>
    <w:rsid w:val="0019793D"/>
    <w:rsid w:val="001A5430"/>
    <w:rsid w:val="001B1C23"/>
    <w:rsid w:val="001D0138"/>
    <w:rsid w:val="001D02A2"/>
    <w:rsid w:val="001E2936"/>
    <w:rsid w:val="001E5892"/>
    <w:rsid w:val="001E72CB"/>
    <w:rsid w:val="00200011"/>
    <w:rsid w:val="00214885"/>
    <w:rsid w:val="00216807"/>
    <w:rsid w:val="00224CD7"/>
    <w:rsid w:val="00236041"/>
    <w:rsid w:val="00236482"/>
    <w:rsid w:val="002425B7"/>
    <w:rsid w:val="00255F02"/>
    <w:rsid w:val="0026561E"/>
    <w:rsid w:val="00281E19"/>
    <w:rsid w:val="002830ED"/>
    <w:rsid w:val="002929D2"/>
    <w:rsid w:val="002B6957"/>
    <w:rsid w:val="002B6A07"/>
    <w:rsid w:val="002D06AC"/>
    <w:rsid w:val="002E7ACE"/>
    <w:rsid w:val="002F0EF1"/>
    <w:rsid w:val="002F1234"/>
    <w:rsid w:val="00301086"/>
    <w:rsid w:val="00317F4A"/>
    <w:rsid w:val="00344AD7"/>
    <w:rsid w:val="00347031"/>
    <w:rsid w:val="0035713F"/>
    <w:rsid w:val="00371182"/>
    <w:rsid w:val="00375364"/>
    <w:rsid w:val="003758F7"/>
    <w:rsid w:val="0038560F"/>
    <w:rsid w:val="00385A08"/>
    <w:rsid w:val="00385D61"/>
    <w:rsid w:val="00397808"/>
    <w:rsid w:val="003A14AF"/>
    <w:rsid w:val="003A3A09"/>
    <w:rsid w:val="003B6210"/>
    <w:rsid w:val="003C3C36"/>
    <w:rsid w:val="003F063E"/>
    <w:rsid w:val="00405662"/>
    <w:rsid w:val="004078DD"/>
    <w:rsid w:val="00414292"/>
    <w:rsid w:val="004147E6"/>
    <w:rsid w:val="00425180"/>
    <w:rsid w:val="00425A92"/>
    <w:rsid w:val="00426938"/>
    <w:rsid w:val="00426DE6"/>
    <w:rsid w:val="00441A39"/>
    <w:rsid w:val="004542FD"/>
    <w:rsid w:val="00454901"/>
    <w:rsid w:val="00472FB3"/>
    <w:rsid w:val="00475622"/>
    <w:rsid w:val="00496D53"/>
    <w:rsid w:val="004B6A6B"/>
    <w:rsid w:val="004C072C"/>
    <w:rsid w:val="004C20D2"/>
    <w:rsid w:val="004C5F2D"/>
    <w:rsid w:val="004C764C"/>
    <w:rsid w:val="004E49F8"/>
    <w:rsid w:val="004F21A7"/>
    <w:rsid w:val="004F5FC5"/>
    <w:rsid w:val="00504913"/>
    <w:rsid w:val="0052264F"/>
    <w:rsid w:val="00523EE2"/>
    <w:rsid w:val="00543017"/>
    <w:rsid w:val="00544C05"/>
    <w:rsid w:val="00581AAB"/>
    <w:rsid w:val="00582E05"/>
    <w:rsid w:val="005855B4"/>
    <w:rsid w:val="00586CC5"/>
    <w:rsid w:val="00594DF6"/>
    <w:rsid w:val="005A05DE"/>
    <w:rsid w:val="005A1BC6"/>
    <w:rsid w:val="005A1F7A"/>
    <w:rsid w:val="005B1400"/>
    <w:rsid w:val="005B2F1F"/>
    <w:rsid w:val="005D5FB2"/>
    <w:rsid w:val="00605FE0"/>
    <w:rsid w:val="00606475"/>
    <w:rsid w:val="00607032"/>
    <w:rsid w:val="00615B00"/>
    <w:rsid w:val="00617EBB"/>
    <w:rsid w:val="006225CB"/>
    <w:rsid w:val="00653A17"/>
    <w:rsid w:val="0065496C"/>
    <w:rsid w:val="00666CF5"/>
    <w:rsid w:val="00691A4B"/>
    <w:rsid w:val="00693E9B"/>
    <w:rsid w:val="00697A0A"/>
    <w:rsid w:val="006A7507"/>
    <w:rsid w:val="006B322B"/>
    <w:rsid w:val="006C6327"/>
    <w:rsid w:val="006D0E72"/>
    <w:rsid w:val="006D25BF"/>
    <w:rsid w:val="006E5F7F"/>
    <w:rsid w:val="006F055C"/>
    <w:rsid w:val="006F3FFD"/>
    <w:rsid w:val="0071463E"/>
    <w:rsid w:val="00716C64"/>
    <w:rsid w:val="00717E5E"/>
    <w:rsid w:val="0075358E"/>
    <w:rsid w:val="0077277C"/>
    <w:rsid w:val="007742E0"/>
    <w:rsid w:val="0079633C"/>
    <w:rsid w:val="00796F40"/>
    <w:rsid w:val="007A075B"/>
    <w:rsid w:val="007C3B20"/>
    <w:rsid w:val="007C40B9"/>
    <w:rsid w:val="007E1D73"/>
    <w:rsid w:val="007F0C75"/>
    <w:rsid w:val="007F6446"/>
    <w:rsid w:val="0080559D"/>
    <w:rsid w:val="0081139B"/>
    <w:rsid w:val="00811812"/>
    <w:rsid w:val="00812C46"/>
    <w:rsid w:val="008203CD"/>
    <w:rsid w:val="00822071"/>
    <w:rsid w:val="00827556"/>
    <w:rsid w:val="00846CEE"/>
    <w:rsid w:val="00851EFD"/>
    <w:rsid w:val="00856E13"/>
    <w:rsid w:val="00857137"/>
    <w:rsid w:val="00861476"/>
    <w:rsid w:val="00866003"/>
    <w:rsid w:val="00880A78"/>
    <w:rsid w:val="008A1ADF"/>
    <w:rsid w:val="008A5050"/>
    <w:rsid w:val="008A5DEC"/>
    <w:rsid w:val="008B670C"/>
    <w:rsid w:val="008E48DF"/>
    <w:rsid w:val="008F10DF"/>
    <w:rsid w:val="008F1E58"/>
    <w:rsid w:val="00915B1D"/>
    <w:rsid w:val="00916B93"/>
    <w:rsid w:val="009209B1"/>
    <w:rsid w:val="009244A7"/>
    <w:rsid w:val="0093021E"/>
    <w:rsid w:val="009404D3"/>
    <w:rsid w:val="00953636"/>
    <w:rsid w:val="0095511C"/>
    <w:rsid w:val="009607BA"/>
    <w:rsid w:val="0096561C"/>
    <w:rsid w:val="00975D77"/>
    <w:rsid w:val="0097715E"/>
    <w:rsid w:val="00994478"/>
    <w:rsid w:val="009B2656"/>
    <w:rsid w:val="00A16F21"/>
    <w:rsid w:val="00A16F88"/>
    <w:rsid w:val="00A20DA9"/>
    <w:rsid w:val="00A221C1"/>
    <w:rsid w:val="00A2303E"/>
    <w:rsid w:val="00A6276C"/>
    <w:rsid w:val="00A629BB"/>
    <w:rsid w:val="00A67ECC"/>
    <w:rsid w:val="00A7404C"/>
    <w:rsid w:val="00A80BFC"/>
    <w:rsid w:val="00A9306A"/>
    <w:rsid w:val="00A945FD"/>
    <w:rsid w:val="00A96EB4"/>
    <w:rsid w:val="00AA32CC"/>
    <w:rsid w:val="00AA5B52"/>
    <w:rsid w:val="00AB1E02"/>
    <w:rsid w:val="00AB213E"/>
    <w:rsid w:val="00AB3449"/>
    <w:rsid w:val="00AC2126"/>
    <w:rsid w:val="00AC2EDB"/>
    <w:rsid w:val="00AC579A"/>
    <w:rsid w:val="00AD387C"/>
    <w:rsid w:val="00AE05FF"/>
    <w:rsid w:val="00AF580B"/>
    <w:rsid w:val="00AF6FC7"/>
    <w:rsid w:val="00B016B0"/>
    <w:rsid w:val="00B06CC1"/>
    <w:rsid w:val="00B162A1"/>
    <w:rsid w:val="00B21F25"/>
    <w:rsid w:val="00B22349"/>
    <w:rsid w:val="00B259EE"/>
    <w:rsid w:val="00B25AF1"/>
    <w:rsid w:val="00B43DAE"/>
    <w:rsid w:val="00B572FF"/>
    <w:rsid w:val="00B710F4"/>
    <w:rsid w:val="00B84733"/>
    <w:rsid w:val="00B91AD0"/>
    <w:rsid w:val="00BA1EE1"/>
    <w:rsid w:val="00BA30CA"/>
    <w:rsid w:val="00BA7A5D"/>
    <w:rsid w:val="00BB324E"/>
    <w:rsid w:val="00BC7DEE"/>
    <w:rsid w:val="00BD5ABB"/>
    <w:rsid w:val="00BE0A36"/>
    <w:rsid w:val="00BE56E0"/>
    <w:rsid w:val="00BE7381"/>
    <w:rsid w:val="00BE7D18"/>
    <w:rsid w:val="00BF04FF"/>
    <w:rsid w:val="00BF560F"/>
    <w:rsid w:val="00C01ED9"/>
    <w:rsid w:val="00C0285E"/>
    <w:rsid w:val="00C30142"/>
    <w:rsid w:val="00C42318"/>
    <w:rsid w:val="00C44465"/>
    <w:rsid w:val="00C51F84"/>
    <w:rsid w:val="00C63010"/>
    <w:rsid w:val="00C92EDF"/>
    <w:rsid w:val="00CA2A08"/>
    <w:rsid w:val="00CB021F"/>
    <w:rsid w:val="00CB25CE"/>
    <w:rsid w:val="00CB7D58"/>
    <w:rsid w:val="00CC548F"/>
    <w:rsid w:val="00CD49E8"/>
    <w:rsid w:val="00CD7893"/>
    <w:rsid w:val="00CF681D"/>
    <w:rsid w:val="00D27164"/>
    <w:rsid w:val="00D32414"/>
    <w:rsid w:val="00D405F7"/>
    <w:rsid w:val="00D4408D"/>
    <w:rsid w:val="00D46324"/>
    <w:rsid w:val="00D57458"/>
    <w:rsid w:val="00D80CF0"/>
    <w:rsid w:val="00D820F1"/>
    <w:rsid w:val="00D833F1"/>
    <w:rsid w:val="00D86F4A"/>
    <w:rsid w:val="00D94BB1"/>
    <w:rsid w:val="00DA212E"/>
    <w:rsid w:val="00DA6B28"/>
    <w:rsid w:val="00DB1FB1"/>
    <w:rsid w:val="00DB529C"/>
    <w:rsid w:val="00DC6FCE"/>
    <w:rsid w:val="00DC7F53"/>
    <w:rsid w:val="00DD2589"/>
    <w:rsid w:val="00DD78C9"/>
    <w:rsid w:val="00DF67C2"/>
    <w:rsid w:val="00E13B98"/>
    <w:rsid w:val="00E2661A"/>
    <w:rsid w:val="00E2784B"/>
    <w:rsid w:val="00E31B96"/>
    <w:rsid w:val="00E344B7"/>
    <w:rsid w:val="00E35915"/>
    <w:rsid w:val="00E5046E"/>
    <w:rsid w:val="00E52404"/>
    <w:rsid w:val="00E573D7"/>
    <w:rsid w:val="00E65735"/>
    <w:rsid w:val="00E74015"/>
    <w:rsid w:val="00E75561"/>
    <w:rsid w:val="00E851CD"/>
    <w:rsid w:val="00E9053E"/>
    <w:rsid w:val="00E90DD1"/>
    <w:rsid w:val="00EA237E"/>
    <w:rsid w:val="00EB3894"/>
    <w:rsid w:val="00ED0F3C"/>
    <w:rsid w:val="00EE3F39"/>
    <w:rsid w:val="00EE5D86"/>
    <w:rsid w:val="00EF1E91"/>
    <w:rsid w:val="00EF25C8"/>
    <w:rsid w:val="00F242CB"/>
    <w:rsid w:val="00F25CAF"/>
    <w:rsid w:val="00F302DC"/>
    <w:rsid w:val="00F36817"/>
    <w:rsid w:val="00F36E3F"/>
    <w:rsid w:val="00F42FF0"/>
    <w:rsid w:val="00F517CC"/>
    <w:rsid w:val="00F537CE"/>
    <w:rsid w:val="00F55823"/>
    <w:rsid w:val="00F564AC"/>
    <w:rsid w:val="00F645FD"/>
    <w:rsid w:val="00F67BE5"/>
    <w:rsid w:val="00F76433"/>
    <w:rsid w:val="00F81C76"/>
    <w:rsid w:val="00F82A44"/>
    <w:rsid w:val="00FA0F6C"/>
    <w:rsid w:val="00FB0008"/>
    <w:rsid w:val="00FB1DCF"/>
    <w:rsid w:val="00FB35DE"/>
    <w:rsid w:val="00FD31FB"/>
    <w:rsid w:val="00FF01B2"/>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A489E"/>
  <w15:chartTrackingRefBased/>
  <w15:docId w15:val="{86008719-06CA-4962-903C-D6601C31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9FC"/>
    <w:rPr>
      <w:color w:val="0563C1" w:themeColor="hyperlink"/>
      <w:u w:val="single"/>
    </w:rPr>
  </w:style>
  <w:style w:type="paragraph" w:styleId="ListParagraph">
    <w:name w:val="List Paragraph"/>
    <w:basedOn w:val="Normal"/>
    <w:uiPriority w:val="34"/>
    <w:qFormat/>
    <w:rsid w:val="001929FC"/>
    <w:pPr>
      <w:ind w:left="720"/>
      <w:contextualSpacing/>
    </w:pPr>
  </w:style>
  <w:style w:type="character" w:styleId="UnresolvedMention">
    <w:name w:val="Unresolved Mention"/>
    <w:basedOn w:val="DefaultParagraphFont"/>
    <w:uiPriority w:val="99"/>
    <w:semiHidden/>
    <w:unhideWhenUsed/>
    <w:rsid w:val="00BE7D18"/>
    <w:rPr>
      <w:color w:val="605E5C"/>
      <w:shd w:val="clear" w:color="auto" w:fill="E1DFDD"/>
    </w:rPr>
  </w:style>
  <w:style w:type="character" w:styleId="Emphasis">
    <w:name w:val="Emphasis"/>
    <w:basedOn w:val="DefaultParagraphFont"/>
    <w:uiPriority w:val="20"/>
    <w:qFormat/>
    <w:rsid w:val="00055B0C"/>
    <w:rPr>
      <w:i/>
      <w:iCs/>
    </w:rPr>
  </w:style>
  <w:style w:type="character" w:customStyle="1" w:styleId="Heading1Char">
    <w:name w:val="Heading 1 Char"/>
    <w:basedOn w:val="DefaultParagraphFont"/>
    <w:link w:val="Heading1"/>
    <w:uiPriority w:val="9"/>
    <w:rsid w:val="004C5F2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710F4"/>
    <w:rPr>
      <w:color w:val="954F72" w:themeColor="followedHyperlink"/>
      <w:u w:val="single"/>
    </w:rPr>
  </w:style>
  <w:style w:type="paragraph" w:styleId="BalloonText">
    <w:name w:val="Balloon Text"/>
    <w:basedOn w:val="Normal"/>
    <w:link w:val="BalloonTextChar"/>
    <w:uiPriority w:val="99"/>
    <w:semiHidden/>
    <w:unhideWhenUsed/>
    <w:rsid w:val="00BD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BB"/>
    <w:rPr>
      <w:rFonts w:ascii="Segoe UI" w:hAnsi="Segoe UI" w:cs="Segoe UI"/>
      <w:sz w:val="18"/>
      <w:szCs w:val="18"/>
    </w:rPr>
  </w:style>
  <w:style w:type="paragraph" w:styleId="Revision">
    <w:name w:val="Revision"/>
    <w:hidden/>
    <w:uiPriority w:val="99"/>
    <w:semiHidden/>
    <w:rsid w:val="00BF04FF"/>
    <w:pPr>
      <w:spacing w:after="0" w:line="240" w:lineRule="auto"/>
    </w:pPr>
  </w:style>
  <w:style w:type="character" w:styleId="CommentReference">
    <w:name w:val="annotation reference"/>
    <w:basedOn w:val="DefaultParagraphFont"/>
    <w:uiPriority w:val="99"/>
    <w:semiHidden/>
    <w:unhideWhenUsed/>
    <w:rsid w:val="0080559D"/>
    <w:rPr>
      <w:sz w:val="16"/>
      <w:szCs w:val="16"/>
    </w:rPr>
  </w:style>
  <w:style w:type="paragraph" w:styleId="CommentText">
    <w:name w:val="annotation text"/>
    <w:basedOn w:val="Normal"/>
    <w:link w:val="CommentTextChar"/>
    <w:uiPriority w:val="99"/>
    <w:semiHidden/>
    <w:unhideWhenUsed/>
    <w:rsid w:val="0080559D"/>
    <w:pPr>
      <w:spacing w:line="240" w:lineRule="auto"/>
    </w:pPr>
    <w:rPr>
      <w:sz w:val="20"/>
      <w:szCs w:val="20"/>
    </w:rPr>
  </w:style>
  <w:style w:type="character" w:customStyle="1" w:styleId="CommentTextChar">
    <w:name w:val="Comment Text Char"/>
    <w:basedOn w:val="DefaultParagraphFont"/>
    <w:link w:val="CommentText"/>
    <w:uiPriority w:val="99"/>
    <w:semiHidden/>
    <w:rsid w:val="0080559D"/>
    <w:rPr>
      <w:sz w:val="20"/>
      <w:szCs w:val="20"/>
    </w:rPr>
  </w:style>
  <w:style w:type="paragraph" w:styleId="CommentSubject">
    <w:name w:val="annotation subject"/>
    <w:basedOn w:val="CommentText"/>
    <w:next w:val="CommentText"/>
    <w:link w:val="CommentSubjectChar"/>
    <w:uiPriority w:val="99"/>
    <w:semiHidden/>
    <w:unhideWhenUsed/>
    <w:rsid w:val="0080559D"/>
    <w:rPr>
      <w:b/>
      <w:bCs/>
    </w:rPr>
  </w:style>
  <w:style w:type="character" w:customStyle="1" w:styleId="CommentSubjectChar">
    <w:name w:val="Comment Subject Char"/>
    <w:basedOn w:val="CommentTextChar"/>
    <w:link w:val="CommentSubject"/>
    <w:uiPriority w:val="99"/>
    <w:semiHidden/>
    <w:rsid w:val="0080559D"/>
    <w:rPr>
      <w:b/>
      <w:bCs/>
      <w:sz w:val="20"/>
      <w:szCs w:val="20"/>
    </w:rPr>
  </w:style>
  <w:style w:type="paragraph" w:styleId="Header">
    <w:name w:val="header"/>
    <w:basedOn w:val="Normal"/>
    <w:link w:val="HeaderChar"/>
    <w:uiPriority w:val="99"/>
    <w:unhideWhenUsed/>
    <w:rsid w:val="00A8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FC"/>
  </w:style>
  <w:style w:type="paragraph" w:styleId="Footer">
    <w:name w:val="footer"/>
    <w:basedOn w:val="Normal"/>
    <w:link w:val="FooterChar"/>
    <w:uiPriority w:val="99"/>
    <w:unhideWhenUsed/>
    <w:rsid w:val="00A8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FC"/>
  </w:style>
  <w:style w:type="paragraph" w:styleId="FootnoteText">
    <w:name w:val="footnote text"/>
    <w:basedOn w:val="Normal"/>
    <w:link w:val="FootnoteTextChar"/>
    <w:uiPriority w:val="99"/>
    <w:semiHidden/>
    <w:unhideWhenUsed/>
    <w:rsid w:val="004E4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9F8"/>
    <w:rPr>
      <w:sz w:val="20"/>
      <w:szCs w:val="20"/>
    </w:rPr>
  </w:style>
  <w:style w:type="character" w:styleId="FootnoteReference">
    <w:name w:val="footnote reference"/>
    <w:basedOn w:val="DefaultParagraphFont"/>
    <w:uiPriority w:val="99"/>
    <w:semiHidden/>
    <w:unhideWhenUsed/>
    <w:rsid w:val="004E49F8"/>
    <w:rPr>
      <w:vertAlign w:val="superscript"/>
    </w:rPr>
  </w:style>
  <w:style w:type="paragraph" w:customStyle="1" w:styleId="wordsection1">
    <w:name w:val="wordsection1"/>
    <w:basedOn w:val="Normal"/>
    <w:rsid w:val="00255F02"/>
    <w:pPr>
      <w:spacing w:after="0" w:line="276" w:lineRule="auto"/>
    </w:pPr>
    <w:rPr>
      <w:rFonts w:ascii="Calibri" w:hAnsi="Calibri" w:cs="Calibri"/>
      <w:color w:val="000000"/>
    </w:rPr>
  </w:style>
  <w:style w:type="character" w:customStyle="1" w:styleId="apple-converted-space">
    <w:name w:val="apple-converted-space"/>
    <w:basedOn w:val="DefaultParagraphFont"/>
    <w:rsid w:val="0011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120">
      <w:bodyDiv w:val="1"/>
      <w:marLeft w:val="0"/>
      <w:marRight w:val="0"/>
      <w:marTop w:val="0"/>
      <w:marBottom w:val="0"/>
      <w:divBdr>
        <w:top w:val="none" w:sz="0" w:space="0" w:color="auto"/>
        <w:left w:val="none" w:sz="0" w:space="0" w:color="auto"/>
        <w:bottom w:val="none" w:sz="0" w:space="0" w:color="auto"/>
        <w:right w:val="none" w:sz="0" w:space="0" w:color="auto"/>
      </w:divBdr>
    </w:div>
    <w:div w:id="529951061">
      <w:bodyDiv w:val="1"/>
      <w:marLeft w:val="0"/>
      <w:marRight w:val="0"/>
      <w:marTop w:val="0"/>
      <w:marBottom w:val="0"/>
      <w:divBdr>
        <w:top w:val="none" w:sz="0" w:space="0" w:color="auto"/>
        <w:left w:val="none" w:sz="0" w:space="0" w:color="auto"/>
        <w:bottom w:val="none" w:sz="0" w:space="0" w:color="auto"/>
        <w:right w:val="none" w:sz="0" w:space="0" w:color="auto"/>
      </w:divBdr>
    </w:div>
    <w:div w:id="608896431">
      <w:bodyDiv w:val="1"/>
      <w:marLeft w:val="0"/>
      <w:marRight w:val="0"/>
      <w:marTop w:val="0"/>
      <w:marBottom w:val="0"/>
      <w:divBdr>
        <w:top w:val="none" w:sz="0" w:space="0" w:color="auto"/>
        <w:left w:val="none" w:sz="0" w:space="0" w:color="auto"/>
        <w:bottom w:val="none" w:sz="0" w:space="0" w:color="auto"/>
        <w:right w:val="none" w:sz="0" w:space="0" w:color="auto"/>
      </w:divBdr>
    </w:div>
    <w:div w:id="669286346">
      <w:bodyDiv w:val="1"/>
      <w:marLeft w:val="0"/>
      <w:marRight w:val="0"/>
      <w:marTop w:val="0"/>
      <w:marBottom w:val="0"/>
      <w:divBdr>
        <w:top w:val="none" w:sz="0" w:space="0" w:color="auto"/>
        <w:left w:val="none" w:sz="0" w:space="0" w:color="auto"/>
        <w:bottom w:val="none" w:sz="0" w:space="0" w:color="auto"/>
        <w:right w:val="none" w:sz="0" w:space="0" w:color="auto"/>
      </w:divBdr>
    </w:div>
    <w:div w:id="782530628">
      <w:bodyDiv w:val="1"/>
      <w:marLeft w:val="0"/>
      <w:marRight w:val="0"/>
      <w:marTop w:val="0"/>
      <w:marBottom w:val="0"/>
      <w:divBdr>
        <w:top w:val="none" w:sz="0" w:space="0" w:color="auto"/>
        <w:left w:val="none" w:sz="0" w:space="0" w:color="auto"/>
        <w:bottom w:val="none" w:sz="0" w:space="0" w:color="auto"/>
        <w:right w:val="none" w:sz="0" w:space="0" w:color="auto"/>
      </w:divBdr>
    </w:div>
    <w:div w:id="1129008125">
      <w:bodyDiv w:val="1"/>
      <w:marLeft w:val="0"/>
      <w:marRight w:val="0"/>
      <w:marTop w:val="0"/>
      <w:marBottom w:val="0"/>
      <w:divBdr>
        <w:top w:val="none" w:sz="0" w:space="0" w:color="auto"/>
        <w:left w:val="none" w:sz="0" w:space="0" w:color="auto"/>
        <w:bottom w:val="none" w:sz="0" w:space="0" w:color="auto"/>
        <w:right w:val="none" w:sz="0" w:space="0" w:color="auto"/>
      </w:divBdr>
    </w:div>
    <w:div w:id="1496022743">
      <w:bodyDiv w:val="1"/>
      <w:marLeft w:val="0"/>
      <w:marRight w:val="0"/>
      <w:marTop w:val="0"/>
      <w:marBottom w:val="0"/>
      <w:divBdr>
        <w:top w:val="none" w:sz="0" w:space="0" w:color="auto"/>
        <w:left w:val="none" w:sz="0" w:space="0" w:color="auto"/>
        <w:bottom w:val="none" w:sz="0" w:space="0" w:color="auto"/>
        <w:right w:val="none" w:sz="0" w:space="0" w:color="auto"/>
      </w:divBdr>
    </w:div>
    <w:div w:id="15829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grants.nih.gov/grants/guide/notice-files/NOT-OD-17-109.html" TargetMode="External"/><Relationship Id="rId26" Type="http://schemas.openxmlformats.org/officeDocument/2006/relationships/hyperlink" Target="https://www.hhs.gov/sites/default/files/hipaa-and-covid-19-limited-hipaa-waiver-bulletin-508.pdf" TargetMode="External"/><Relationship Id="rId3" Type="http://schemas.openxmlformats.org/officeDocument/2006/relationships/customXml" Target="../customXml/item3.xml"/><Relationship Id="rId21" Type="http://schemas.openxmlformats.org/officeDocument/2006/relationships/hyperlink" Target="https://grants.nih.gov/grants/guide/notice-files/NOT-OD-17-109.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rants.nih.gov/grants/guide/notice-files/NOT-OD-20-087.html" TargetMode="External"/><Relationship Id="rId17" Type="http://schemas.openxmlformats.org/officeDocument/2006/relationships/hyperlink" Target="https://www.fda.gov/regulatory-information/search-fda-guidance-documents/fda-guidance-conduct-clinical-trials-medical-products-during-covid-19-pandemic" TargetMode="External"/><Relationship Id="rId25" Type="http://schemas.openxmlformats.org/officeDocument/2006/relationships/hyperlink" Target="https://www.hhs.gov/hipaa/for-professionals/special-topics/emergency-preparedness/notification-enforcement-discretion-telehealth/index.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HRP@HHS.gov" TargetMode="External"/><Relationship Id="rId20" Type="http://schemas.openxmlformats.org/officeDocument/2006/relationships/hyperlink" Target="https://www.govinfo.gov/content/pkg/USCODE-2018-title42/pdf/USCODE-2018-title42-chap6A-subchapII-partA-sec241.pdf" TargetMode="External"/><Relationship Id="rId29" Type="http://schemas.openxmlformats.org/officeDocument/2006/relationships/hyperlink" Target="https://www.fda.gov/media/145162/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emergency/news/healthactions/phe/Pages/2019-nCoV.aspx" TargetMode="External"/><Relationship Id="rId24" Type="http://schemas.openxmlformats.org/officeDocument/2006/relationships/hyperlink" Target="https://www.fda.gov/regulatory-information/search-fda-guidance-documents/fda-guidance-conduct-clinical-trials-medical-products-during-covid-19-pandemic" TargetMode="External"/><Relationship Id="rId32" Type="http://schemas.openxmlformats.org/officeDocument/2006/relationships/hyperlink" Target="https://mrctcenter.org/blog/resources/covid-19-clinical-research-flyers/" TargetMode="External"/><Relationship Id="rId5" Type="http://schemas.openxmlformats.org/officeDocument/2006/relationships/numbering" Target="numbering.xml"/><Relationship Id="rId15" Type="http://schemas.openxmlformats.org/officeDocument/2006/relationships/hyperlink" Target="https://www.hhs.gov/ohrp/regulations-and-policy/guidance/guidance-on-engagement-of-institutions/index.html" TargetMode="External"/><Relationship Id="rId23" Type="http://schemas.openxmlformats.org/officeDocument/2006/relationships/hyperlink" Target="https://grants.nih.gov/grants/natural_disasters/corona-virus.htm" TargetMode="External"/><Relationship Id="rId28" Type="http://schemas.openxmlformats.org/officeDocument/2006/relationships/hyperlink" Target="https://grants.nih.gov/grants/guide/notice-files/NOT-OD-21-006.html" TargetMode="External"/><Relationship Id="rId10" Type="http://schemas.openxmlformats.org/officeDocument/2006/relationships/endnotes" Target="endnotes.xml"/><Relationship Id="rId19" Type="http://schemas.openxmlformats.org/officeDocument/2006/relationships/hyperlink" Target="https://grants.nih.gov/grants/guide/notice-files/NOT-OD-17-109.html" TargetMode="External"/><Relationship Id="rId31" Type="http://schemas.openxmlformats.org/officeDocument/2006/relationships/hyperlink" Target="https://www.washington.edu/research/hsd/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guidance/ohrp-guidance-on-covid-19/index.html" TargetMode="External"/><Relationship Id="rId22" Type="http://schemas.openxmlformats.org/officeDocument/2006/relationships/hyperlink" Target="https://grants.nih.gov/grants/policy/nihgps/HTML5/section_4/4.1.4_confidentiality.htm?Highlight=confidentiality" TargetMode="External"/><Relationship Id="rId27" Type="http://schemas.openxmlformats.org/officeDocument/2006/relationships/hyperlink" Target="https://www.hhs.gov/ohrp/regulations-and-policy/single-irb-exception-determinations/october-2020-exception-determination/index.html" TargetMode="External"/><Relationship Id="rId30" Type="http://schemas.openxmlformats.org/officeDocument/2006/relationships/hyperlink" Target="https://research.wustl.edu/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1" ma:contentTypeDescription="Create a new document." ma:contentTypeScope="" ma:versionID="98ca9ff336b7fab33a04d94a2bda25b0">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26cf06a969846aebcd23fe24828c7b4a"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9C93-331B-472D-B910-C50B743E14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351E72-74AA-493B-80BB-0344C7B58F24}">
  <ds:schemaRefs>
    <ds:schemaRef ds:uri="http://schemas.microsoft.com/sharepoint/v3/contenttype/forms"/>
  </ds:schemaRefs>
</ds:datastoreItem>
</file>

<file path=customXml/itemProps3.xml><?xml version="1.0" encoding="utf-8"?>
<ds:datastoreItem xmlns:ds="http://schemas.openxmlformats.org/officeDocument/2006/customXml" ds:itemID="{96E6C02C-9492-4527-91E4-3DE4324FB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C5D26-AF6A-4A83-B9E4-F16BC1EB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 Office of Extramural Research</dc:creator>
  <cp:keywords/>
  <dc:description/>
  <cp:lastModifiedBy>Sharma, Priyanka (NIH/OD) [C]</cp:lastModifiedBy>
  <cp:revision>2</cp:revision>
  <dcterms:created xsi:type="dcterms:W3CDTF">2022-03-15T17:45:00Z</dcterms:created>
  <dcterms:modified xsi:type="dcterms:W3CDTF">2022-03-15T17:45:00Z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