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E90D" w14:textId="7515560E" w:rsidR="001D2D9C" w:rsidRDefault="001D2D9C" w:rsidP="001D2D9C">
      <w:pPr>
        <w:pStyle w:val="Heading1"/>
      </w:pPr>
      <w:r w:rsidRPr="001D2D9C">
        <w:t>Information for NIH Applicants and Recipients of NIH Funding Related to COVID-19</w:t>
      </w:r>
      <w:r w:rsidR="00435D91">
        <w:t xml:space="preserve"> </w:t>
      </w:r>
    </w:p>
    <w:p w14:paraId="3D3AC6C1" w14:textId="28446C88" w:rsidR="00B95153" w:rsidRPr="00DB249A" w:rsidRDefault="00435D91" w:rsidP="00DB249A">
      <w:r>
        <w:t xml:space="preserve">Updated </w:t>
      </w:r>
      <w:r w:rsidR="00AC64B8">
        <w:t>07-</w:t>
      </w:r>
      <w:r w:rsidR="002672F0" w:rsidRPr="00976FBE">
        <w:t>17</w:t>
      </w:r>
      <w:r w:rsidR="002672F0">
        <w:t>-</w:t>
      </w:r>
      <w:r w:rsidR="00AC64B8">
        <w:t>2020</w:t>
      </w:r>
    </w:p>
    <w:p w14:paraId="442B87D9" w14:textId="15D7FCCC" w:rsidR="00B4725D" w:rsidRPr="00B4725D" w:rsidRDefault="00B4725D" w:rsidP="00DB249A">
      <w:pPr>
        <w:pStyle w:val="Heading2"/>
      </w:pPr>
      <w:r w:rsidRPr="00B33F76">
        <w:t>Patient Care and Researcher Safety is the First Priority</w:t>
      </w:r>
    </w:p>
    <w:p w14:paraId="36841AE6" w14:textId="40D5779F" w:rsidR="001D2D9C" w:rsidRPr="001D2D9C" w:rsidRDefault="001D2D9C" w:rsidP="001D2D9C">
      <w:pPr>
        <w:pStyle w:val="ListParagraph"/>
        <w:numPr>
          <w:ilvl w:val="0"/>
          <w:numId w:val="2"/>
        </w:numPr>
        <w:rPr>
          <w:rFonts w:ascii="Source Sans Pro" w:hAnsi="Source Sans Pro"/>
          <w:color w:val="333333"/>
          <w:shd w:val="clear" w:color="auto" w:fill="FFFFFF"/>
        </w:rPr>
      </w:pPr>
      <w:r w:rsidRPr="001D2D9C">
        <w:rPr>
          <w:rFonts w:ascii="Source Sans Pro" w:hAnsi="Source Sans Pro"/>
          <w:color w:val="333333"/>
          <w:shd w:val="clear" w:color="auto" w:fill="FFFFFF"/>
        </w:rPr>
        <w:t xml:space="preserve">The NIH is deeply concerned for the health and safety of people involved in NIH research, and about the effects of the </w:t>
      </w:r>
      <w:r w:rsidRPr="001D2D9C">
        <w:rPr>
          <w:rFonts w:ascii="Source Sans Pro" w:hAnsi="Source Sans Pro"/>
          <w:shd w:val="clear" w:color="auto" w:fill="FFFFFF"/>
        </w:rPr>
        <w:t xml:space="preserve">COVID-19 public health emergency </w:t>
      </w:r>
      <w:r w:rsidRPr="001D2D9C">
        <w:rPr>
          <w:rFonts w:ascii="Source Sans Pro" w:hAnsi="Source Sans Pro"/>
          <w:color w:val="333333"/>
          <w:shd w:val="clear" w:color="auto" w:fill="FFFFFF"/>
        </w:rPr>
        <w:t>on the biomedical enterprise.</w:t>
      </w:r>
    </w:p>
    <w:p w14:paraId="12932FD0" w14:textId="74513158" w:rsidR="001D2D9C" w:rsidRPr="001D2D9C" w:rsidRDefault="001D2D9C" w:rsidP="001D2D9C">
      <w:pPr>
        <w:pStyle w:val="ListParagraph"/>
        <w:numPr>
          <w:ilvl w:val="0"/>
          <w:numId w:val="2"/>
        </w:numPr>
      </w:pPr>
      <w:r w:rsidRPr="001D2D9C">
        <w:rPr>
          <w:rFonts w:ascii="Source Sans Pro" w:hAnsi="Source Sans Pro"/>
          <w:color w:val="333333"/>
          <w:shd w:val="clear" w:color="auto" w:fill="FFFFFF"/>
        </w:rPr>
        <w:t xml:space="preserve">NIH is providing many administrative flexibilities to help the research continue. </w:t>
      </w:r>
    </w:p>
    <w:p w14:paraId="69DF0290" w14:textId="2B8AC301" w:rsidR="001D2D9C" w:rsidRDefault="00F3235D" w:rsidP="00F3235D">
      <w:pPr>
        <w:pStyle w:val="Heading2"/>
      </w:pPr>
      <w:r>
        <w:t>Stay Up to Date</w:t>
      </w:r>
    </w:p>
    <w:p w14:paraId="710348CB" w14:textId="77777777" w:rsidR="00F3235D" w:rsidRDefault="001D2D9C" w:rsidP="00B33F76">
      <w:pPr>
        <w:pStyle w:val="ListParagraph"/>
        <w:numPr>
          <w:ilvl w:val="0"/>
          <w:numId w:val="2"/>
        </w:numPr>
      </w:pPr>
      <w:r w:rsidRPr="001D2D9C">
        <w:t>This is a rapidly evolving situation</w:t>
      </w:r>
      <w:r>
        <w:t xml:space="preserve">. </w:t>
      </w:r>
    </w:p>
    <w:p w14:paraId="458E94FB" w14:textId="64045932" w:rsidR="00F3235D" w:rsidRDefault="001D2D9C" w:rsidP="00B33F76">
      <w:pPr>
        <w:pStyle w:val="ListParagraph"/>
        <w:numPr>
          <w:ilvl w:val="0"/>
          <w:numId w:val="2"/>
        </w:numPr>
      </w:pPr>
      <w:r>
        <w:t xml:space="preserve">Information provided </w:t>
      </w:r>
      <w:r w:rsidRPr="001D2D9C">
        <w:t>is current as of</w:t>
      </w:r>
      <w:r w:rsidR="004309D5">
        <w:t xml:space="preserve"> </w:t>
      </w:r>
      <w:r w:rsidR="00AC64B8">
        <w:t xml:space="preserve">July </w:t>
      </w:r>
      <w:r w:rsidR="002672F0" w:rsidRPr="00976FBE">
        <w:t>17</w:t>
      </w:r>
      <w:r w:rsidR="00872B6C" w:rsidRPr="00976FBE">
        <w:t>,</w:t>
      </w:r>
      <w:r w:rsidR="00872B6C">
        <w:t xml:space="preserve"> </w:t>
      </w:r>
      <w:r w:rsidRPr="001D2D9C">
        <w:t>2020.</w:t>
      </w:r>
      <w:r w:rsidR="00AD2D92">
        <w:t xml:space="preserve"> </w:t>
      </w:r>
    </w:p>
    <w:p w14:paraId="70B81761" w14:textId="2393086E" w:rsidR="0091060C" w:rsidRDefault="00F3235D" w:rsidP="00435D91">
      <w:pPr>
        <w:pStyle w:val="ListParagraph"/>
        <w:numPr>
          <w:ilvl w:val="0"/>
          <w:numId w:val="2"/>
        </w:numPr>
      </w:pPr>
      <w:r>
        <w:t xml:space="preserve">Latest information may be found at </w:t>
      </w:r>
      <w:hyperlink r:id="rId8" w:history="1">
        <w:r w:rsidR="00AD2D92">
          <w:rPr>
            <w:rStyle w:val="Hyperlink"/>
          </w:rPr>
          <w:t>https://grants.nih.gov/policy/natural-disasters/corona-virus.htm</w:t>
        </w:r>
      </w:hyperlink>
    </w:p>
    <w:p w14:paraId="6522F6F1" w14:textId="77777777" w:rsidR="0091060C" w:rsidRDefault="0091060C" w:rsidP="0091060C">
      <w:pPr>
        <w:pStyle w:val="Heading2"/>
      </w:pPr>
      <w:r>
        <w:t>NIH is Open for Business</w:t>
      </w:r>
    </w:p>
    <w:p w14:paraId="096869EC" w14:textId="77777777" w:rsidR="0091060C" w:rsidRDefault="0091060C" w:rsidP="0091060C">
      <w:pPr>
        <w:pStyle w:val="ListParagraph"/>
        <w:numPr>
          <w:ilvl w:val="0"/>
          <w:numId w:val="9"/>
        </w:numPr>
      </w:pPr>
      <w:r>
        <w:t>Extramural staff are working remotely</w:t>
      </w:r>
    </w:p>
    <w:p w14:paraId="724DEFF0" w14:textId="77777777" w:rsidR="00D85242" w:rsidRDefault="00D85242" w:rsidP="00D85242">
      <w:pPr>
        <w:pStyle w:val="ListParagraph"/>
        <w:numPr>
          <w:ilvl w:val="0"/>
          <w:numId w:val="9"/>
        </w:numPr>
      </w:pPr>
      <w:r>
        <w:t>We continue to process applications and make awards</w:t>
      </w:r>
    </w:p>
    <w:p w14:paraId="05B44B92" w14:textId="572DF2B5" w:rsidR="0091060C" w:rsidRDefault="002B380F" w:rsidP="0091060C">
      <w:pPr>
        <w:pStyle w:val="ListParagraph"/>
        <w:numPr>
          <w:ilvl w:val="0"/>
          <w:numId w:val="9"/>
        </w:numPr>
      </w:pPr>
      <w:r>
        <w:t>We are conducting peer review meetings</w:t>
      </w:r>
      <w:r w:rsidR="0091060C">
        <w:t xml:space="preserve"> </w:t>
      </w:r>
      <w:r w:rsidR="005E2A6A">
        <w:t>virtually</w:t>
      </w:r>
    </w:p>
    <w:p w14:paraId="1BE2C16B" w14:textId="0678D24D" w:rsidR="0091060C" w:rsidRDefault="0091060C" w:rsidP="00435D91">
      <w:pPr>
        <w:pStyle w:val="ListParagraph"/>
        <w:numPr>
          <w:ilvl w:val="0"/>
          <w:numId w:val="9"/>
        </w:numPr>
      </w:pPr>
      <w:r>
        <w:t>We are working diligently to provide funding opportunities to support COVID-19 research</w:t>
      </w:r>
    </w:p>
    <w:p w14:paraId="2C9E0C6C" w14:textId="77777777" w:rsidR="0091060C" w:rsidRDefault="0091060C" w:rsidP="0091060C">
      <w:pPr>
        <w:pStyle w:val="Heading2"/>
      </w:pPr>
      <w:r>
        <w:t>COVID-19 Funding Opportunities and Other Information for Applicants and Recipients</w:t>
      </w:r>
    </w:p>
    <w:p w14:paraId="45C60D8C" w14:textId="01352226" w:rsidR="00B46490" w:rsidRPr="00FB67B7" w:rsidRDefault="00B46490" w:rsidP="00435D91">
      <w:pPr>
        <w:pStyle w:val="ListParagraph"/>
        <w:numPr>
          <w:ilvl w:val="0"/>
          <w:numId w:val="10"/>
        </w:numPr>
      </w:pPr>
      <w:r w:rsidRPr="00FB67B7">
        <w:t>Funding through competing supplements, administrative supplements, new awards</w:t>
      </w:r>
    </w:p>
    <w:p w14:paraId="05CD3605" w14:textId="6956EB57" w:rsidR="0091060C" w:rsidRPr="00435D91" w:rsidRDefault="00B46490" w:rsidP="00435D91">
      <w:pPr>
        <w:pStyle w:val="ListParagraph"/>
        <w:numPr>
          <w:ilvl w:val="0"/>
          <w:numId w:val="10"/>
        </w:numPr>
        <w:rPr>
          <w:b/>
          <w:bCs/>
        </w:rPr>
      </w:pPr>
      <w:r w:rsidRPr="00FB67B7">
        <w:t>Many opportunities listed on</w:t>
      </w:r>
      <w:r w:rsidR="0091060C" w:rsidRPr="00950CD3">
        <w:t xml:space="preserve"> </w:t>
      </w:r>
      <w:hyperlink r:id="rId9" w:history="1">
        <w:r w:rsidR="0091060C" w:rsidRPr="004A3ADC">
          <w:rPr>
            <w:rStyle w:val="Hyperlink"/>
          </w:rPr>
          <w:t>Coronavirus Disease 2019 (COVID-19): Information for NIH Applicants and Recipients of NIH Funding</w:t>
        </w:r>
      </w:hyperlink>
      <w:r w:rsidR="0091060C">
        <w:t xml:space="preserve"> website</w:t>
      </w:r>
    </w:p>
    <w:p w14:paraId="1FA73D3C" w14:textId="168E4D4A" w:rsidR="001D2D9C" w:rsidRDefault="00B4725D" w:rsidP="00B33F76">
      <w:pPr>
        <w:pStyle w:val="Heading2"/>
      </w:pPr>
      <w:r>
        <w:t xml:space="preserve">Donating </w:t>
      </w:r>
      <w:r w:rsidR="00626714">
        <w:t xml:space="preserve">Research </w:t>
      </w:r>
      <w:r>
        <w:t>Supplies</w:t>
      </w:r>
    </w:p>
    <w:p w14:paraId="75B0D9C7" w14:textId="3003647F" w:rsidR="002672F0" w:rsidRDefault="00072A92" w:rsidP="00B33F76">
      <w:pPr>
        <w:pStyle w:val="ListParagraph"/>
        <w:numPr>
          <w:ilvl w:val="0"/>
          <w:numId w:val="2"/>
        </w:numPr>
      </w:pPr>
      <w:r>
        <w:t>As long as r</w:t>
      </w:r>
      <w:r w:rsidR="00AC64B8" w:rsidRPr="00AC64B8">
        <w:t>ecipients</w:t>
      </w:r>
      <w:r>
        <w:t xml:space="preserve"> are not repurposing NIH grant projects in order to donate PPE and other lab supplies to hospitals, medical centers, and other local entities, they</w:t>
      </w:r>
      <w:r w:rsidR="00AC64B8" w:rsidRPr="00AC64B8">
        <w:t xml:space="preserve"> may</w:t>
      </w:r>
      <w:r>
        <w:t xml:space="preserve"> do so without prior approval</w:t>
      </w:r>
      <w:r w:rsidR="00AC64B8" w:rsidRPr="00AC64B8">
        <w:t xml:space="preserve"> </w:t>
      </w:r>
      <w:r w:rsidR="002672F0">
        <w:t>to</w:t>
      </w:r>
      <w:r w:rsidR="00AC64B8" w:rsidRPr="00AC64B8">
        <w:t xml:space="preserve"> </w:t>
      </w:r>
      <w:r>
        <w:t>serve</w:t>
      </w:r>
      <w:r w:rsidR="00AC64B8" w:rsidRPr="00AC64B8">
        <w:t xml:space="preserve"> the public health emergency crisis for COVID-19 response. </w:t>
      </w:r>
    </w:p>
    <w:p w14:paraId="381165B3" w14:textId="77777777" w:rsidR="00A9634D" w:rsidRDefault="00B4725D" w:rsidP="00A9634D">
      <w:pPr>
        <w:pStyle w:val="ListParagraph"/>
        <w:numPr>
          <w:ilvl w:val="0"/>
          <w:numId w:val="2"/>
        </w:numPr>
      </w:pPr>
      <w:r>
        <w:t>Reach</w:t>
      </w:r>
      <w:r w:rsidR="001D2D9C" w:rsidRPr="001D2D9C">
        <w:t xml:space="preserve"> out to your </w:t>
      </w:r>
      <w:r>
        <w:t xml:space="preserve">NIH </w:t>
      </w:r>
      <w:r w:rsidR="001D2D9C" w:rsidRPr="001D2D9C">
        <w:t>program officer and grants management staff</w:t>
      </w:r>
      <w:r>
        <w:t xml:space="preserve"> with specific questions</w:t>
      </w:r>
      <w:r w:rsidR="001D2D9C" w:rsidRPr="001D2D9C">
        <w:t xml:space="preserve">. </w:t>
      </w:r>
    </w:p>
    <w:p w14:paraId="4DC49BD1" w14:textId="04060BF6" w:rsidR="00DB249A" w:rsidRDefault="00A9634D" w:rsidP="00A9634D">
      <w:pPr>
        <w:pStyle w:val="ListParagraph"/>
        <w:numPr>
          <w:ilvl w:val="0"/>
          <w:numId w:val="2"/>
        </w:numPr>
      </w:pPr>
      <w:r>
        <w:t>Learn more</w:t>
      </w:r>
      <w:r w:rsidR="005726B5">
        <w:t>:</w:t>
      </w:r>
      <w:r>
        <w:t xml:space="preserve"> </w:t>
      </w:r>
      <w:r w:rsidR="00DB249A">
        <w:t xml:space="preserve">FAQs </w:t>
      </w:r>
      <w:hyperlink r:id="rId10" w:anchor="/covid-19.htm" w:history="1">
        <w:r w:rsidR="00DB249A">
          <w:rPr>
            <w:rStyle w:val="Hyperlink"/>
          </w:rPr>
          <w:t>grants.nih.gov/</w:t>
        </w:r>
        <w:proofErr w:type="spellStart"/>
        <w:r w:rsidR="00DB249A">
          <w:rPr>
            <w:rStyle w:val="Hyperlink"/>
          </w:rPr>
          <w:t>faqs</w:t>
        </w:r>
        <w:proofErr w:type="spellEnd"/>
        <w:r w:rsidR="00DB249A">
          <w:rPr>
            <w:rStyle w:val="Hyperlink"/>
          </w:rPr>
          <w:t>#/covid-19.htm</w:t>
        </w:r>
      </w:hyperlink>
    </w:p>
    <w:p w14:paraId="554F0782" w14:textId="77777777" w:rsidR="00DB249A" w:rsidRDefault="00DB249A" w:rsidP="00DB249A">
      <w:pPr>
        <w:pStyle w:val="Heading2"/>
      </w:pPr>
      <w:r>
        <w:t>Application Deadlines</w:t>
      </w:r>
    </w:p>
    <w:p w14:paraId="7968650E" w14:textId="7DE4352E" w:rsidR="00C83DCC" w:rsidRDefault="00AC64B8" w:rsidP="00C83DCC">
      <w:pPr>
        <w:pStyle w:val="ListParagraph"/>
        <w:numPr>
          <w:ilvl w:val="0"/>
          <w:numId w:val="4"/>
        </w:numPr>
      </w:pPr>
      <w:r>
        <w:t>Some NIH Institutes have extended deadlines for select FOAs</w:t>
      </w:r>
    </w:p>
    <w:p w14:paraId="6979192C" w14:textId="578BA342" w:rsidR="00AC64B8" w:rsidRPr="00C83DCC" w:rsidRDefault="00AC64B8" w:rsidP="00C83DCC">
      <w:pPr>
        <w:pStyle w:val="ListParagraph"/>
        <w:numPr>
          <w:ilvl w:val="0"/>
          <w:numId w:val="4"/>
        </w:numPr>
      </w:pPr>
      <w:r w:rsidRPr="00AC64B8">
        <w:t xml:space="preserve">For all other </w:t>
      </w:r>
      <w:r>
        <w:t>FOAs</w:t>
      </w:r>
      <w:r w:rsidRPr="00AC64B8">
        <w:t xml:space="preserve"> NIH is taking a very flexible stance for applications submitted within the </w:t>
      </w:r>
      <w:hyperlink r:id="rId11" w:history="1">
        <w:r w:rsidRPr="00AC64B8">
          <w:rPr>
            <w:rStyle w:val="Hyperlink"/>
          </w:rPr>
          <w:t>standard two week late policy</w:t>
        </w:r>
      </w:hyperlink>
    </w:p>
    <w:p w14:paraId="47595ADA" w14:textId="304580D5" w:rsidR="00AC64B8" w:rsidRPr="00C83DCC" w:rsidRDefault="00C31A94" w:rsidP="00AC64B8">
      <w:pPr>
        <w:pStyle w:val="ListParagraph"/>
        <w:numPr>
          <w:ilvl w:val="0"/>
          <w:numId w:val="4"/>
        </w:numPr>
      </w:pPr>
      <w:r w:rsidRPr="00C31A94">
        <w:t xml:space="preserve">Late application policy notices are listed on the </w:t>
      </w:r>
      <w:hyperlink r:id="rId12" w:history="1">
        <w:r w:rsidRPr="00C31A94">
          <w:rPr>
            <w:rStyle w:val="Hyperlink"/>
          </w:rPr>
          <w:t>Coronavirus Disease 2019 (COVID-19): Information for NIH Applicants and Recipients of NIH Funding</w:t>
        </w:r>
      </w:hyperlink>
      <w:r w:rsidRPr="00C31A94">
        <w:t xml:space="preserve"> website</w:t>
      </w:r>
    </w:p>
    <w:p w14:paraId="2501559C" w14:textId="4572E583" w:rsidR="00B52925" w:rsidRDefault="00B52925" w:rsidP="00A9634D">
      <w:pPr>
        <w:pStyle w:val="Heading2"/>
      </w:pPr>
      <w:r>
        <w:t xml:space="preserve">Post Submission Materials </w:t>
      </w:r>
    </w:p>
    <w:p w14:paraId="6F56C61D" w14:textId="64D03FDB" w:rsidR="001D4F8C" w:rsidRPr="001D4F8C" w:rsidRDefault="001D4F8C" w:rsidP="00F70476">
      <w:pPr>
        <w:pStyle w:val="ListParagraph"/>
        <w:ind w:left="0"/>
      </w:pPr>
      <w:r w:rsidRPr="001D4F8C">
        <w:t>NIH has implemented a special exception to allow preliminary data as post submission materials</w:t>
      </w:r>
      <w:r w:rsidR="00AC64B8">
        <w:t xml:space="preserve"> beginning with due dates/on/after May 25,2020</w:t>
      </w:r>
      <w:r w:rsidRPr="001D4F8C">
        <w:t>:</w:t>
      </w:r>
    </w:p>
    <w:p w14:paraId="14E336E2" w14:textId="77777777" w:rsidR="00F70476" w:rsidRPr="00F70476" w:rsidRDefault="00F70476" w:rsidP="00F7047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F70476">
        <w:rPr>
          <w:rFonts w:eastAsia="Times New Roman" w:cstheme="minorHAnsi"/>
          <w:color w:val="333333"/>
        </w:rPr>
        <w:t>Preliminary data must be submitted 30 days before the study section meeting</w:t>
      </w:r>
    </w:p>
    <w:p w14:paraId="6BBD3725" w14:textId="77777777" w:rsidR="00F70476" w:rsidRPr="00F70476" w:rsidRDefault="00F70476" w:rsidP="00F7047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F70476">
        <w:rPr>
          <w:rFonts w:eastAsia="Times New Roman" w:cstheme="minorHAnsi"/>
          <w:color w:val="333333"/>
        </w:rPr>
        <w:t>AOR concurrence required</w:t>
      </w:r>
    </w:p>
    <w:p w14:paraId="54F96560" w14:textId="77777777" w:rsidR="00F70476" w:rsidRPr="00F70476" w:rsidRDefault="00F70476" w:rsidP="00F7047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F70476">
        <w:rPr>
          <w:rFonts w:eastAsia="Times New Roman" w:cstheme="minorHAnsi"/>
          <w:color w:val="333333"/>
        </w:rPr>
        <w:t>One page of preliminary data will be accepted for single component applications or for each component of a multi-component application</w:t>
      </w:r>
    </w:p>
    <w:p w14:paraId="7EB2F31B" w14:textId="77777777" w:rsidR="00F70476" w:rsidRPr="00F70476" w:rsidRDefault="00F70476" w:rsidP="00F7047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F70476">
        <w:rPr>
          <w:rFonts w:eastAsia="Times New Roman" w:cstheme="minorHAnsi"/>
          <w:color w:val="333333"/>
        </w:rPr>
        <w:lastRenderedPageBreak/>
        <w:t>Funding opportunity must allow preliminary data (i.e. does not explicitly indicate preliminary data is not allowed)</w:t>
      </w:r>
    </w:p>
    <w:p w14:paraId="32254DD8" w14:textId="77777777" w:rsidR="00F70476" w:rsidRPr="00F70476" w:rsidRDefault="00F70476" w:rsidP="00F7047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F70476">
        <w:rPr>
          <w:rFonts w:eastAsia="Times New Roman" w:cstheme="minorHAnsi"/>
          <w:color w:val="333333"/>
        </w:rPr>
        <w:t>Post-submission materials will not be accepted for applications for emergency competitive revisions and urgent competitive revisions which undergo expedited review</w:t>
      </w:r>
    </w:p>
    <w:p w14:paraId="7D7572B0" w14:textId="3B3774EC" w:rsidR="00093BF4" w:rsidRPr="00B52925" w:rsidRDefault="00313DFF" w:rsidP="002D010F">
      <w:pPr>
        <w:pStyle w:val="ListParagraph"/>
        <w:numPr>
          <w:ilvl w:val="0"/>
          <w:numId w:val="2"/>
        </w:numPr>
      </w:pPr>
      <w:r w:rsidRPr="00313DFF">
        <w:t xml:space="preserve">Learn more: </w:t>
      </w:r>
      <w:hyperlink r:id="rId13" w:history="1">
        <w:r w:rsidRPr="00313DFF">
          <w:rPr>
            <w:rStyle w:val="Hyperlink"/>
          </w:rPr>
          <w:t>NOT-OD-20-123</w:t>
        </w:r>
      </w:hyperlink>
    </w:p>
    <w:p w14:paraId="5986987C" w14:textId="69F3FC11" w:rsidR="00A9634D" w:rsidRDefault="00B4725D" w:rsidP="00A9634D">
      <w:pPr>
        <w:pStyle w:val="Heading2"/>
      </w:pPr>
      <w:r>
        <w:t>Salaries</w:t>
      </w:r>
      <w:r w:rsidR="008F31D0">
        <w:t xml:space="preserve"> and Stipends</w:t>
      </w:r>
    </w:p>
    <w:p w14:paraId="30E7278B" w14:textId="6F101605" w:rsidR="002672F0" w:rsidRDefault="00F70476" w:rsidP="00BA59F6">
      <w:pPr>
        <w:pStyle w:val="ListParagraph"/>
        <w:numPr>
          <w:ilvl w:val="0"/>
          <w:numId w:val="2"/>
        </w:numPr>
      </w:pPr>
      <w:r w:rsidRPr="00F70476">
        <w:t>Recipients must exhaust other available funding sources to sustain its workforce and implement necessary steps to save operational costs to preserve Federal funds for grant supported activitie</w:t>
      </w:r>
      <w:r w:rsidR="002672F0">
        <w:t>s</w:t>
      </w:r>
      <w:r w:rsidR="00B701AD">
        <w:t xml:space="preserve"> </w:t>
      </w:r>
    </w:p>
    <w:p w14:paraId="74E4D4BC" w14:textId="54D27F51" w:rsidR="002672F0" w:rsidRDefault="002672F0" w:rsidP="00BA59F6">
      <w:pPr>
        <w:pStyle w:val="ListParagraph"/>
        <w:numPr>
          <w:ilvl w:val="0"/>
          <w:numId w:val="2"/>
        </w:numPr>
      </w:pPr>
      <w:r>
        <w:t>R</w:t>
      </w:r>
      <w:r w:rsidR="00B701AD">
        <w:t xml:space="preserve">ecipients may charge salaries and stipends to grant projects on a </w:t>
      </w:r>
      <w:proofErr w:type="gramStart"/>
      <w:r w:rsidR="00B701AD">
        <w:t>cases</w:t>
      </w:r>
      <w:proofErr w:type="gramEnd"/>
      <w:r w:rsidR="00B701AD">
        <w:t xml:space="preserve"> by case basis</w:t>
      </w:r>
      <w:r w:rsidR="00F70476" w:rsidRPr="00F70476">
        <w:t> </w:t>
      </w:r>
    </w:p>
    <w:p w14:paraId="69394579" w14:textId="77777777" w:rsidR="002672F0" w:rsidRDefault="002672F0" w:rsidP="002672F0">
      <w:pPr>
        <w:pStyle w:val="ListParagraph"/>
        <w:numPr>
          <w:ilvl w:val="1"/>
          <w:numId w:val="2"/>
        </w:numPr>
      </w:pPr>
      <w:r>
        <w:t>Upon documenting the efforts to exhaust all other available funding sources</w:t>
      </w:r>
    </w:p>
    <w:p w14:paraId="6BD0175C" w14:textId="28FAB2F7" w:rsidR="00B701AD" w:rsidRDefault="002672F0" w:rsidP="005C2504">
      <w:pPr>
        <w:pStyle w:val="ListParagraph"/>
        <w:numPr>
          <w:ilvl w:val="1"/>
          <w:numId w:val="2"/>
        </w:numPr>
      </w:pPr>
      <w:r>
        <w:t>O</w:t>
      </w:r>
      <w:r w:rsidR="00B701AD">
        <w:t>nly</w:t>
      </w:r>
      <w:r>
        <w:t xml:space="preserve"> i</w:t>
      </w:r>
      <w:r w:rsidR="00B701AD" w:rsidRPr="00B4725D">
        <w:t>f organization’s policy allows</w:t>
      </w:r>
      <w:r w:rsidR="00B701AD">
        <w:t xml:space="preserve"> such charges from all funding sources, federal and non-federal</w:t>
      </w:r>
      <w:r w:rsidR="00B701AD" w:rsidRPr="00B4725D">
        <w:t xml:space="preserve"> </w:t>
      </w:r>
    </w:p>
    <w:p w14:paraId="37EA63C3" w14:textId="62D88283" w:rsidR="00BA59F6" w:rsidRDefault="00BA59F6" w:rsidP="00BA59F6">
      <w:pPr>
        <w:pStyle w:val="ListParagraph"/>
        <w:numPr>
          <w:ilvl w:val="0"/>
          <w:numId w:val="2"/>
        </w:numPr>
      </w:pPr>
      <w:r>
        <w:t>Per OMB Memo M-20-26, this flexibility remains available through September 30, 2020</w:t>
      </w:r>
    </w:p>
    <w:p w14:paraId="29FB5FC9" w14:textId="19B8C4EF" w:rsidR="00B33F76" w:rsidRDefault="00B41027" w:rsidP="00471420">
      <w:pPr>
        <w:pStyle w:val="ListParagraph"/>
        <w:numPr>
          <w:ilvl w:val="0"/>
          <w:numId w:val="2"/>
        </w:numPr>
      </w:pPr>
      <w:r>
        <w:t>Learn more</w:t>
      </w:r>
      <w:r w:rsidR="005726B5">
        <w:t xml:space="preserve">: </w:t>
      </w:r>
      <w:hyperlink r:id="rId14" w:history="1">
        <w:r w:rsidR="00F70476" w:rsidRPr="00F70476">
          <w:rPr>
            <w:rStyle w:val="Hyperlink"/>
          </w:rPr>
          <w:t>NIH Implementation of OMB Memo M-20-26</w:t>
        </w:r>
      </w:hyperlink>
      <w:r w:rsidR="00F70476">
        <w:t xml:space="preserve"> </w:t>
      </w:r>
      <w:r w:rsidR="00BA59F6">
        <w:t>a</w:t>
      </w:r>
      <w:r>
        <w:t xml:space="preserve">nd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FAQs at </w:t>
      </w:r>
      <w:hyperlink r:id="rId15" w:anchor="/covid-19.htm" w:history="1">
        <w:r>
          <w:rPr>
            <w:rStyle w:val="Hyperlink"/>
          </w:rPr>
          <w:t>grants.nih.gov/</w:t>
        </w:r>
        <w:proofErr w:type="spellStart"/>
        <w:r>
          <w:rPr>
            <w:rStyle w:val="Hyperlink"/>
          </w:rPr>
          <w:t>faqs</w:t>
        </w:r>
        <w:proofErr w:type="spellEnd"/>
        <w:r>
          <w:rPr>
            <w:rStyle w:val="Hyperlink"/>
          </w:rPr>
          <w:t>#/covid-19.htm</w:t>
        </w:r>
      </w:hyperlink>
    </w:p>
    <w:p w14:paraId="2941CBAC" w14:textId="7B2C86F2" w:rsidR="00A9634D" w:rsidRDefault="00A9634D" w:rsidP="00A9634D">
      <w:pPr>
        <w:pStyle w:val="Heading2"/>
      </w:pPr>
      <w:r w:rsidRPr="00A9634D">
        <w:t>Guidance on Human Subjects Research affected by COVID-19</w:t>
      </w:r>
    </w:p>
    <w:p w14:paraId="7641F735" w14:textId="49691D82" w:rsidR="00A9634D" w:rsidRPr="00AD2D92" w:rsidRDefault="00AD2D92" w:rsidP="005C2504">
      <w:pPr>
        <w:pStyle w:val="ListParagraph"/>
        <w:numPr>
          <w:ilvl w:val="0"/>
          <w:numId w:val="2"/>
        </w:numPr>
      </w:pPr>
      <w:r w:rsidRPr="005C2504">
        <w:t>E</w:t>
      </w:r>
      <w:r w:rsidR="00DB1DFF" w:rsidRPr="005C2504">
        <w:t>nsure the safety of all human participants and research staff involved in clinical trials and human subjects</w:t>
      </w:r>
      <w:r w:rsidR="009752E1" w:rsidRPr="005C2504">
        <w:t>’</w:t>
      </w:r>
      <w:r w:rsidR="00DB1DFF" w:rsidRPr="005C2504">
        <w:t xml:space="preserve"> studies.</w:t>
      </w:r>
    </w:p>
    <w:p w14:paraId="618526F8" w14:textId="77777777" w:rsidR="00AD2D92" w:rsidRPr="00AD2D92" w:rsidRDefault="00AD2D92" w:rsidP="005C2504">
      <w:pPr>
        <w:pStyle w:val="ListParagraph"/>
        <w:numPr>
          <w:ilvl w:val="0"/>
          <w:numId w:val="2"/>
        </w:numPr>
      </w:pPr>
      <w:r w:rsidRPr="00AD2D92">
        <w:t>C</w:t>
      </w:r>
      <w:r w:rsidRPr="005C2504">
        <w:t>onsult with IRBs and institutions about protective measures, such as:</w:t>
      </w:r>
    </w:p>
    <w:p w14:paraId="53FA5A0B" w14:textId="77777777" w:rsidR="00AD2D92" w:rsidRPr="00AD2D92" w:rsidRDefault="00AD2D92" w:rsidP="005C2504">
      <w:pPr>
        <w:pStyle w:val="ListParagraph"/>
        <w:numPr>
          <w:ilvl w:val="0"/>
          <w:numId w:val="2"/>
        </w:numPr>
      </w:pPr>
      <w:r w:rsidRPr="005C2504">
        <w:t>Limiting study visits to those needed for participant safety or coincident with clinical care.</w:t>
      </w:r>
    </w:p>
    <w:p w14:paraId="04FD92FD" w14:textId="77777777" w:rsidR="00AD2D92" w:rsidRPr="00AD2D92" w:rsidRDefault="00AD2D92" w:rsidP="005C2504">
      <w:pPr>
        <w:pStyle w:val="ListParagraph"/>
        <w:numPr>
          <w:ilvl w:val="0"/>
          <w:numId w:val="2"/>
        </w:numPr>
      </w:pPr>
      <w:r w:rsidRPr="005C2504">
        <w:t>Conducting virtual study visits</w:t>
      </w:r>
    </w:p>
    <w:p w14:paraId="0F3A3388" w14:textId="544E0FF4" w:rsidR="00AD2D92" w:rsidRPr="00AD2D92" w:rsidRDefault="00A0060A" w:rsidP="005C2504">
      <w:pPr>
        <w:pStyle w:val="ListParagraph"/>
        <w:numPr>
          <w:ilvl w:val="0"/>
          <w:numId w:val="2"/>
        </w:numPr>
      </w:pPr>
      <w:r w:rsidRPr="005C2504">
        <w:t>Implementing f</w:t>
      </w:r>
      <w:r w:rsidR="00AD2D92" w:rsidRPr="005C2504">
        <w:t xml:space="preserve">lexibilities for required laboratory tests or imaging needed for safety monitoring </w:t>
      </w:r>
    </w:p>
    <w:p w14:paraId="50C11133" w14:textId="3E2130D4" w:rsidR="00AD2D92" w:rsidRPr="00AD2D92" w:rsidRDefault="00AD2D92" w:rsidP="005C2504">
      <w:pPr>
        <w:pStyle w:val="ListParagraph"/>
        <w:numPr>
          <w:ilvl w:val="0"/>
          <w:numId w:val="2"/>
        </w:numPr>
      </w:pPr>
      <w:r w:rsidRPr="005C2504">
        <w:t>NIH will be flexible regarding project extensions and accommodating unanticipated costs</w:t>
      </w:r>
    </w:p>
    <w:p w14:paraId="692A0012" w14:textId="3F56F2C1" w:rsidR="00F3235D" w:rsidRPr="00BA59F6" w:rsidRDefault="00AD2D92" w:rsidP="005C2504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 w:rsidRPr="005C2504">
        <w:t>Learn more</w:t>
      </w:r>
      <w:r w:rsidR="005726B5" w:rsidRPr="005C2504">
        <w:t>: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hyperlink r:id="rId16" w:history="1">
        <w:r w:rsidR="00F3235D" w:rsidRPr="005C2504">
          <w:rPr>
            <w:rStyle w:val="Hyperlink"/>
            <w:rFonts w:eastAsia="Times New Roman" w:cstheme="minorHAnsi"/>
          </w:rPr>
          <w:t>NOT-OD-20-087</w:t>
        </w:r>
      </w:hyperlink>
      <w:r w:rsidR="00F3235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F3235D" w:rsidRPr="005C2504">
        <w:t>and FAQs at</w:t>
      </w:r>
      <w:r w:rsidR="00F3235D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hyperlink r:id="rId17" w:anchor="/covid-19.htm" w:history="1">
        <w:r w:rsidR="00F3235D">
          <w:rPr>
            <w:rStyle w:val="Hyperlink"/>
          </w:rPr>
          <w:t>grants.nih.gov/</w:t>
        </w:r>
        <w:proofErr w:type="spellStart"/>
        <w:r w:rsidR="00F3235D">
          <w:rPr>
            <w:rStyle w:val="Hyperlink"/>
          </w:rPr>
          <w:t>faqs</w:t>
        </w:r>
        <w:proofErr w:type="spellEnd"/>
        <w:r w:rsidR="00F3235D">
          <w:rPr>
            <w:rStyle w:val="Hyperlink"/>
          </w:rPr>
          <w:t>#/covid-19.htm</w:t>
        </w:r>
      </w:hyperlink>
    </w:p>
    <w:p w14:paraId="05ABB99F" w14:textId="77777777" w:rsidR="00BA59F6" w:rsidRPr="00731417" w:rsidRDefault="00BA59F6" w:rsidP="005C2504">
      <w:pPr>
        <w:pStyle w:val="Heading2"/>
        <w:rPr>
          <w:rStyle w:val="Hyperlink"/>
          <w:color w:val="auto"/>
          <w:u w:val="none"/>
        </w:rPr>
      </w:pPr>
    </w:p>
    <w:p w14:paraId="2DE821A7" w14:textId="1A4D6CA7" w:rsidR="00731417" w:rsidRPr="005C2504" w:rsidRDefault="00731417" w:rsidP="005C2504">
      <w:pPr>
        <w:pStyle w:val="Heading2"/>
        <w:rPr>
          <w:shd w:val="clear" w:color="auto" w:fill="FFFFFF"/>
        </w:rPr>
      </w:pPr>
      <w:bookmarkStart w:id="0" w:name="_Hlk40963268"/>
      <w:r w:rsidRPr="005C2504">
        <w:rPr>
          <w:shd w:val="clear" w:color="auto" w:fill="FFFFFF"/>
        </w:rPr>
        <w:t xml:space="preserve">Guidance </w:t>
      </w:r>
      <w:r w:rsidR="00872B6C" w:rsidRPr="005C2504">
        <w:rPr>
          <w:shd w:val="clear" w:color="auto" w:fill="FFFFFF"/>
        </w:rPr>
        <w:t>for</w:t>
      </w:r>
      <w:r w:rsidRPr="005C2504">
        <w:rPr>
          <w:shd w:val="clear" w:color="auto" w:fill="FFFFFF"/>
        </w:rPr>
        <w:t xml:space="preserve"> IACUCs </w:t>
      </w:r>
    </w:p>
    <w:p w14:paraId="63B95BE2" w14:textId="70D7A7F1" w:rsidR="00E21DD0" w:rsidRPr="005C2504" w:rsidRDefault="00F06EF6" w:rsidP="00650B68">
      <w:pPr>
        <w:numPr>
          <w:ilvl w:val="0"/>
          <w:numId w:val="14"/>
        </w:numPr>
        <w:shd w:val="clear" w:color="auto" w:fill="FFFFFF"/>
        <w:spacing w:after="100" w:afterAutospacing="1" w:line="240" w:lineRule="auto"/>
        <w:rPr>
          <w:rFonts w:eastAsia="Times New Roman" w:cstheme="minorHAnsi"/>
        </w:rPr>
      </w:pPr>
      <w:r w:rsidRPr="005C2504">
        <w:rPr>
          <w:rFonts w:eastAsia="Times New Roman" w:cstheme="minorHAnsi"/>
        </w:rPr>
        <w:t>F</w:t>
      </w:r>
      <w:r w:rsidR="00E21DD0" w:rsidRPr="005C2504">
        <w:rPr>
          <w:rFonts w:eastAsia="Times New Roman" w:cstheme="minorHAnsi"/>
        </w:rPr>
        <w:t xml:space="preserve">acility inspections may </w:t>
      </w:r>
      <w:r w:rsidRPr="005C2504">
        <w:rPr>
          <w:rFonts w:eastAsia="Times New Roman" w:cstheme="minorHAnsi"/>
        </w:rPr>
        <w:t xml:space="preserve">be extended by </w:t>
      </w:r>
      <w:r w:rsidR="00E21DD0" w:rsidRPr="005C2504">
        <w:rPr>
          <w:rFonts w:eastAsia="Times New Roman" w:cstheme="minorHAnsi"/>
        </w:rPr>
        <w:t>30 days</w:t>
      </w:r>
      <w:r w:rsidR="00D37C29" w:rsidRPr="005C2504">
        <w:rPr>
          <w:rFonts w:eastAsia="Times New Roman" w:cstheme="minorHAnsi"/>
        </w:rPr>
        <w:t xml:space="preserve"> beyond the six-month interval</w:t>
      </w:r>
      <w:r w:rsidR="00E21DD0" w:rsidRPr="005C2504">
        <w:rPr>
          <w:rFonts w:eastAsia="Times New Roman" w:cstheme="minorHAnsi"/>
        </w:rPr>
        <w:t xml:space="preserve"> </w:t>
      </w:r>
    </w:p>
    <w:p w14:paraId="36DFFEC7" w14:textId="2EC2984D" w:rsidR="00E21DD0" w:rsidRPr="005C2504" w:rsidRDefault="00E21DD0" w:rsidP="008934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5C2504">
        <w:rPr>
          <w:rFonts w:eastAsia="Times New Roman" w:cstheme="minorHAnsi"/>
        </w:rPr>
        <w:t>IACUC can determine the best means of conducting the facility inspections</w:t>
      </w:r>
      <w:r w:rsidR="0089343F" w:rsidRPr="005C2504">
        <w:rPr>
          <w:rFonts w:eastAsia="Times New Roman" w:cstheme="minorHAnsi"/>
        </w:rPr>
        <w:t>, to include ad hoc consultants</w:t>
      </w:r>
    </w:p>
    <w:p w14:paraId="189F9D38" w14:textId="23816A84" w:rsidR="00731417" w:rsidRPr="005C2504" w:rsidRDefault="00731417" w:rsidP="007314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5C2504">
        <w:rPr>
          <w:rFonts w:cstheme="minorHAnsi"/>
        </w:rPr>
        <w:t xml:space="preserve">IACUCs may institute virtual meetings </w:t>
      </w:r>
    </w:p>
    <w:p w14:paraId="3EE3F3D6" w14:textId="77777777" w:rsidR="00731417" w:rsidRPr="005C2504" w:rsidRDefault="00731417" w:rsidP="007314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5C2504">
        <w:rPr>
          <w:rFonts w:cstheme="minorHAnsi"/>
        </w:rPr>
        <w:t>The number of IACUC meetings may be reduced to as few as one every six months</w:t>
      </w:r>
    </w:p>
    <w:p w14:paraId="536B5913" w14:textId="41C66B1C" w:rsidR="00731417" w:rsidRPr="005C2504" w:rsidRDefault="00731417" w:rsidP="007314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</w:rPr>
      </w:pPr>
      <w:r w:rsidRPr="005C2504">
        <w:rPr>
          <w:rFonts w:cstheme="minorHAnsi"/>
        </w:rPr>
        <w:t xml:space="preserve">The IACUC may choose to expand their use of designated member review </w:t>
      </w:r>
    </w:p>
    <w:p w14:paraId="05B6D2A6" w14:textId="7901D9CD" w:rsidR="00731417" w:rsidRPr="00D1037C" w:rsidRDefault="00E21DD0" w:rsidP="0073141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ource Sans Pro" w:hAnsi="Source Sans Pro"/>
          <w:color w:val="333333"/>
        </w:rPr>
      </w:pPr>
      <w:r w:rsidRPr="005C2504">
        <w:rPr>
          <w:rFonts w:cstheme="minorHAnsi"/>
          <w:color w:val="333333"/>
        </w:rPr>
        <w:t xml:space="preserve">Learn more: </w:t>
      </w:r>
      <w:hyperlink r:id="rId18" w:history="1">
        <w:r w:rsidR="00731417" w:rsidRPr="005C2504">
          <w:rPr>
            <w:rStyle w:val="Hyperlink"/>
            <w:rFonts w:cstheme="minorHAnsi"/>
            <w:color w:val="337AB7"/>
          </w:rPr>
          <w:t xml:space="preserve"> </w:t>
        </w:r>
        <w:r w:rsidR="00731417" w:rsidRPr="005C2504">
          <w:rPr>
            <w:rStyle w:val="Hyperlink"/>
            <w:rFonts w:eastAsia="Times New Roman" w:cstheme="minorHAnsi"/>
          </w:rPr>
          <w:t>NOT-OD-20-088</w:t>
        </w:r>
      </w:hyperlink>
      <w:r w:rsidRPr="00D1037C">
        <w:rPr>
          <w:rFonts w:ascii="Source Sans Pro" w:hAnsi="Source Sans Pro"/>
          <w:color w:val="333333"/>
        </w:rPr>
        <w:t xml:space="preserve"> </w:t>
      </w:r>
      <w:r w:rsidRPr="005C2504">
        <w:rPr>
          <w:rFonts w:cstheme="minorHAnsi"/>
          <w:color w:val="333333"/>
        </w:rPr>
        <w:t xml:space="preserve">and </w:t>
      </w:r>
      <w:hyperlink r:id="rId19" w:history="1">
        <w:r w:rsidRPr="005C2504">
          <w:rPr>
            <w:rStyle w:val="Hyperlink"/>
            <w:rFonts w:eastAsia="Times New Roman" w:cstheme="minorHAnsi"/>
          </w:rPr>
          <w:t>olaw.nih.gov/covid-19.htm</w:t>
        </w:r>
      </w:hyperlink>
      <w:r w:rsidRPr="00D1037C">
        <w:rPr>
          <w:rFonts w:ascii="Source Sans Pro" w:hAnsi="Source Sans Pro"/>
          <w:color w:val="333333"/>
          <w:sz w:val="24"/>
          <w:szCs w:val="24"/>
        </w:rPr>
        <w:t xml:space="preserve"> </w:t>
      </w:r>
    </w:p>
    <w:bookmarkEnd w:id="0"/>
    <w:p w14:paraId="547A4047" w14:textId="290074B1" w:rsidR="00F3235D" w:rsidRDefault="00E57770" w:rsidP="00EC5392">
      <w:pPr>
        <w:pStyle w:val="Heading2"/>
      </w:pPr>
      <w:r>
        <w:t xml:space="preserve">Administrative </w:t>
      </w:r>
      <w:r w:rsidR="00EC5392">
        <w:t>Flexibilities</w:t>
      </w:r>
    </w:p>
    <w:p w14:paraId="56230DA7" w14:textId="290C250E" w:rsidR="00BA59F6" w:rsidRPr="00BA59F6" w:rsidRDefault="00E57770" w:rsidP="006F069E">
      <w:pPr>
        <w:pStyle w:val="ListParagraph"/>
        <w:numPr>
          <w:ilvl w:val="0"/>
          <w:numId w:val="7"/>
        </w:numPr>
      </w:pPr>
      <w:r w:rsidRPr="00BA59F6">
        <w:t>OMB</w:t>
      </w:r>
      <w:r w:rsidR="00BA59F6">
        <w:t xml:space="preserve"> previously</w:t>
      </w:r>
      <w:r w:rsidRPr="00BA59F6">
        <w:t xml:space="preserve"> authorized agencies to utilize administrative flexibilities</w:t>
      </w:r>
      <w:r w:rsidR="00FA403F" w:rsidRPr="00BA59F6">
        <w:t xml:space="preserve"> </w:t>
      </w:r>
      <w:r w:rsidR="00BA59F6" w:rsidRPr="00BA59F6">
        <w:t xml:space="preserve">for </w:t>
      </w:r>
      <w:r w:rsidR="00902F7F" w:rsidRPr="00BA59F6">
        <w:t>recipients conducting COVID-19 research and recipients affected by COVID-19</w:t>
      </w:r>
      <w:r w:rsidR="00BA59F6" w:rsidRPr="00BA59F6">
        <w:t xml:space="preserve"> </w:t>
      </w:r>
    </w:p>
    <w:p w14:paraId="4CA52CB6" w14:textId="58F8E862" w:rsidR="00E57770" w:rsidRPr="00BA59F6" w:rsidRDefault="00BA59F6" w:rsidP="006F069E">
      <w:pPr>
        <w:pStyle w:val="ListParagraph"/>
        <w:numPr>
          <w:ilvl w:val="0"/>
          <w:numId w:val="7"/>
        </w:numPr>
      </w:pPr>
      <w:r w:rsidRPr="00BA59F6">
        <w:t xml:space="preserve">For recipients </w:t>
      </w:r>
      <w:r w:rsidR="002672F0">
        <w:t>a</w:t>
      </w:r>
      <w:r w:rsidRPr="00BA59F6">
        <w:t xml:space="preserve">ffected by COVID-19, many of these flexibilities have ended, effective June 16, 2020 </w:t>
      </w:r>
    </w:p>
    <w:p w14:paraId="24973A3A" w14:textId="5FF7EF8F" w:rsidR="002672F0" w:rsidRDefault="00BA59F6" w:rsidP="005C2504">
      <w:pPr>
        <w:pStyle w:val="ListParagraph"/>
        <w:numPr>
          <w:ilvl w:val="0"/>
          <w:numId w:val="7"/>
        </w:numPr>
      </w:pPr>
      <w:r w:rsidRPr="005C2504">
        <w:t xml:space="preserve">Requests for </w:t>
      </w:r>
      <w:r w:rsidR="002672F0">
        <w:t xml:space="preserve">the following </w:t>
      </w:r>
      <w:r w:rsidRPr="005C2504">
        <w:t>flexibilit</w:t>
      </w:r>
      <w:r w:rsidR="002672F0">
        <w:t>ies</w:t>
      </w:r>
      <w:r w:rsidRPr="005C2504">
        <w:t xml:space="preserve"> going forward may be considered by ICs on a case by case basis</w:t>
      </w:r>
      <w:r w:rsidR="002672F0">
        <w:t>:</w:t>
      </w:r>
    </w:p>
    <w:p w14:paraId="66479074" w14:textId="161CF54A" w:rsidR="002672F0" w:rsidRDefault="002672F0" w:rsidP="005C2504">
      <w:pPr>
        <w:pStyle w:val="ListParagraph"/>
        <w:numPr>
          <w:ilvl w:val="1"/>
          <w:numId w:val="7"/>
        </w:numPr>
      </w:pPr>
      <w:r>
        <w:t>P</w:t>
      </w:r>
      <w:r w:rsidR="008D0AE5" w:rsidRPr="005C2504">
        <w:t>rior approval requests for delayed report submission</w:t>
      </w:r>
    </w:p>
    <w:p w14:paraId="26990185" w14:textId="077FEA3F" w:rsidR="00A11E14" w:rsidRDefault="002672F0" w:rsidP="00A11E14">
      <w:pPr>
        <w:pStyle w:val="ListParagraph"/>
        <w:numPr>
          <w:ilvl w:val="1"/>
          <w:numId w:val="7"/>
        </w:numPr>
      </w:pPr>
      <w:r>
        <w:t>S</w:t>
      </w:r>
      <w:r w:rsidR="008D0AE5" w:rsidRPr="005C2504">
        <w:t>econd/third no-cost extensions</w:t>
      </w:r>
    </w:p>
    <w:p w14:paraId="53D5805F" w14:textId="2612FF6C" w:rsidR="00A11E14" w:rsidRDefault="00A11E14" w:rsidP="00A11E14">
      <w:pPr>
        <w:pStyle w:val="ListParagraph"/>
        <w:numPr>
          <w:ilvl w:val="1"/>
          <w:numId w:val="7"/>
        </w:numPr>
      </w:pPr>
      <w:r>
        <w:t>C</w:t>
      </w:r>
      <w:r w:rsidR="008D0AE5" w:rsidRPr="005C2504">
        <w:t>arry over requests</w:t>
      </w:r>
    </w:p>
    <w:p w14:paraId="7F7BD22B" w14:textId="6E367C8F" w:rsidR="008D0AE5" w:rsidRPr="008D0AE5" w:rsidRDefault="009D6922" w:rsidP="005C2504">
      <w:pPr>
        <w:pStyle w:val="ListParagraph"/>
        <w:numPr>
          <w:ilvl w:val="0"/>
          <w:numId w:val="7"/>
        </w:numPr>
      </w:pPr>
      <w:r w:rsidRPr="005C2504">
        <w:lastRenderedPageBreak/>
        <w:t xml:space="preserve">We continue to provide maximum flexibility in approving these requests. </w:t>
      </w:r>
    </w:p>
    <w:p w14:paraId="7145593C" w14:textId="039D4A5B" w:rsidR="00BA59F6" w:rsidRPr="00BA59F6" w:rsidRDefault="008D0AE5" w:rsidP="008D0AE5">
      <w:pPr>
        <w:pStyle w:val="ListParagraph"/>
        <w:numPr>
          <w:ilvl w:val="1"/>
          <w:numId w:val="7"/>
        </w:numPr>
      </w:pPr>
      <w:r w:rsidRPr="005C2504">
        <w:t>Note that standard policies for allowable pre-award costs continue to apply</w:t>
      </w:r>
      <w:r w:rsidR="00B43B43" w:rsidRPr="005C2504">
        <w:t xml:space="preserve"> </w:t>
      </w:r>
    </w:p>
    <w:p w14:paraId="5DCB1860" w14:textId="04F08F71" w:rsidR="00BA59F6" w:rsidRPr="00BA59F6" w:rsidRDefault="00BA59F6" w:rsidP="006F069E">
      <w:pPr>
        <w:pStyle w:val="ListParagraph"/>
        <w:numPr>
          <w:ilvl w:val="0"/>
          <w:numId w:val="7"/>
        </w:numPr>
      </w:pPr>
      <w:r w:rsidRPr="00BA59F6">
        <w:t>For recipients of NIH emergency COVID-19</w:t>
      </w:r>
      <w:r>
        <w:t xml:space="preserve"> supplemental</w:t>
      </w:r>
      <w:r w:rsidRPr="00BA59F6">
        <w:t xml:space="preserve"> appropriations, the flexibilities outlined in OMB Memo M-20-11 remain available</w:t>
      </w:r>
      <w:r>
        <w:t xml:space="preserve"> for those awards</w:t>
      </w:r>
      <w:r w:rsidRPr="00BA59F6">
        <w:t xml:space="preserve"> through the end of the public health emergency.</w:t>
      </w:r>
    </w:p>
    <w:p w14:paraId="0DE0BE53" w14:textId="445D0455" w:rsidR="00CC3488" w:rsidRDefault="006F069E" w:rsidP="00D8545E">
      <w:pPr>
        <w:pStyle w:val="ListParagraph"/>
        <w:numPr>
          <w:ilvl w:val="0"/>
          <w:numId w:val="7"/>
        </w:numPr>
      </w:pPr>
      <w:r>
        <w:t>Learn more</w:t>
      </w:r>
      <w:r w:rsidR="005726B5">
        <w:t>:</w:t>
      </w:r>
      <w:r>
        <w:t xml:space="preserve">  </w:t>
      </w:r>
      <w:hyperlink r:id="rId20" w:history="1">
        <w:r w:rsidR="00F70476" w:rsidRPr="00F70476">
          <w:rPr>
            <w:rStyle w:val="Hyperlink"/>
          </w:rPr>
          <w:t>NIH Implementation of OMB Memo M-20-26</w:t>
        </w:r>
      </w:hyperlink>
      <w:r w:rsidR="00F70476">
        <w:t xml:space="preserve"> </w:t>
      </w:r>
      <w:r>
        <w:t xml:space="preserve">and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FAQs at </w:t>
      </w:r>
      <w:hyperlink r:id="rId21" w:anchor="/covid-19.htm" w:history="1">
        <w:r>
          <w:rPr>
            <w:rStyle w:val="Hyperlink"/>
          </w:rPr>
          <w:t>grants.nih.gov/</w:t>
        </w:r>
        <w:proofErr w:type="spellStart"/>
        <w:r>
          <w:rPr>
            <w:rStyle w:val="Hyperlink"/>
          </w:rPr>
          <w:t>faqs</w:t>
        </w:r>
        <w:proofErr w:type="spellEnd"/>
        <w:r>
          <w:rPr>
            <w:rStyle w:val="Hyperlink"/>
          </w:rPr>
          <w:t>#/covid-19.htm</w:t>
        </w:r>
      </w:hyperlink>
    </w:p>
    <w:p w14:paraId="40DAE6AE" w14:textId="7A229509" w:rsidR="00CC3488" w:rsidRPr="00D8545E" w:rsidRDefault="00110BA6" w:rsidP="00D8545E">
      <w:pPr>
        <w:pStyle w:val="Heading2"/>
      </w:pPr>
      <w:r>
        <w:t xml:space="preserve">Accommodations for </w:t>
      </w:r>
      <w:r w:rsidR="004F29C1">
        <w:t xml:space="preserve">Loss of Time for </w:t>
      </w:r>
      <w:r w:rsidR="00EA4EFC">
        <w:t>Investigators Early in their Careers</w:t>
      </w:r>
    </w:p>
    <w:p w14:paraId="605B526A" w14:textId="415F29D0" w:rsidR="00CC3488" w:rsidRPr="005C2504" w:rsidRDefault="00570D24" w:rsidP="003D20F9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5C2504">
        <w:rPr>
          <w:rFonts w:cstheme="minorHAnsi"/>
          <w:shd w:val="clear" w:color="auto" w:fill="FFFFFF"/>
        </w:rPr>
        <w:t>E</w:t>
      </w:r>
      <w:r w:rsidR="00272488" w:rsidRPr="005C2504">
        <w:rPr>
          <w:rFonts w:cstheme="minorHAnsi"/>
          <w:shd w:val="clear" w:color="auto" w:fill="FFFFFF"/>
        </w:rPr>
        <w:t>xtensions for early stage investigator eligibility</w:t>
      </w:r>
      <w:r w:rsidRPr="005C2504">
        <w:rPr>
          <w:rFonts w:cstheme="minorHAnsi"/>
          <w:shd w:val="clear" w:color="auto" w:fill="FFFFFF"/>
        </w:rPr>
        <w:t xml:space="preserve"> due to </w:t>
      </w:r>
      <w:r w:rsidR="00D64060" w:rsidRPr="005C2504">
        <w:rPr>
          <w:rFonts w:cstheme="minorHAnsi"/>
          <w:shd w:val="clear" w:color="auto" w:fill="FFFFFF"/>
        </w:rPr>
        <w:t>COVID-19</w:t>
      </w:r>
      <w:r w:rsidR="00116257" w:rsidRPr="005C2504">
        <w:rPr>
          <w:rFonts w:cstheme="minorHAnsi"/>
          <w:shd w:val="clear" w:color="auto" w:fill="FFFFFF"/>
        </w:rPr>
        <w:t>-</w:t>
      </w:r>
      <w:r w:rsidR="00D64060" w:rsidRPr="005C2504">
        <w:rPr>
          <w:rFonts w:cstheme="minorHAnsi"/>
          <w:shd w:val="clear" w:color="auto" w:fill="FFFFFF"/>
        </w:rPr>
        <w:t>related disruptions</w:t>
      </w:r>
      <w:r w:rsidR="00116257" w:rsidRPr="005C2504">
        <w:rPr>
          <w:rFonts w:cstheme="minorHAnsi"/>
          <w:shd w:val="clear" w:color="auto" w:fill="FFFFFF"/>
        </w:rPr>
        <w:t xml:space="preserve"> will be considered</w:t>
      </w:r>
    </w:p>
    <w:p w14:paraId="1F963649" w14:textId="26A0958A" w:rsidR="001D2D9C" w:rsidRPr="005C2504" w:rsidRDefault="00686A3C" w:rsidP="003D20F9">
      <w:pPr>
        <w:pStyle w:val="ListParagraph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5C2504">
        <w:rPr>
          <w:rFonts w:cstheme="minorHAnsi"/>
          <w:shd w:val="clear" w:color="auto" w:fill="FFFFFF"/>
        </w:rPr>
        <w:t xml:space="preserve">NIH will be </w:t>
      </w:r>
      <w:r w:rsidR="00A734D6" w:rsidRPr="005C2504">
        <w:rPr>
          <w:rFonts w:cstheme="minorHAnsi"/>
          <w:shd w:val="clear" w:color="auto" w:fill="FFFFFF"/>
        </w:rPr>
        <w:t>flexible with extending time</w:t>
      </w:r>
      <w:r w:rsidR="008C2607" w:rsidRPr="005C2504">
        <w:rPr>
          <w:rFonts w:cstheme="minorHAnsi"/>
          <w:shd w:val="clear" w:color="auto" w:fill="FFFFFF"/>
        </w:rPr>
        <w:t xml:space="preserve"> </w:t>
      </w:r>
      <w:r w:rsidR="003267C1" w:rsidRPr="005C2504">
        <w:rPr>
          <w:rFonts w:cstheme="minorHAnsi"/>
          <w:shd w:val="clear" w:color="auto" w:fill="FFFFFF"/>
        </w:rPr>
        <w:t xml:space="preserve">constraints </w:t>
      </w:r>
      <w:r w:rsidR="008C2607" w:rsidRPr="005C2504">
        <w:rPr>
          <w:rFonts w:cstheme="minorHAnsi"/>
          <w:shd w:val="clear" w:color="auto" w:fill="FFFFFF"/>
        </w:rPr>
        <w:t>for fellowship, c</w:t>
      </w:r>
      <w:r w:rsidRPr="005C2504">
        <w:rPr>
          <w:rFonts w:cstheme="minorHAnsi"/>
          <w:shd w:val="clear" w:color="auto" w:fill="FFFFFF"/>
        </w:rPr>
        <w:t>areer development and training awards</w:t>
      </w:r>
      <w:r w:rsidR="003267C1" w:rsidRPr="005C2504">
        <w:rPr>
          <w:rFonts w:cstheme="minorHAnsi"/>
          <w:shd w:val="clear" w:color="auto" w:fill="FFFFFF"/>
        </w:rPr>
        <w:t>, including phased awards</w:t>
      </w:r>
      <w:r w:rsidRPr="005C2504">
        <w:rPr>
          <w:rFonts w:cstheme="minorHAnsi"/>
          <w:shd w:val="clear" w:color="auto" w:fill="FFFFFF"/>
        </w:rPr>
        <w:t xml:space="preserve"> </w:t>
      </w:r>
    </w:p>
    <w:p w14:paraId="51562235" w14:textId="3A7D71DA" w:rsidR="008116B5" w:rsidRPr="005C2504" w:rsidRDefault="007C1589" w:rsidP="001D2D9C">
      <w:pPr>
        <w:pStyle w:val="ListParagraph"/>
        <w:numPr>
          <w:ilvl w:val="0"/>
          <w:numId w:val="7"/>
        </w:numPr>
        <w:rPr>
          <w:rFonts w:cstheme="minorHAnsi"/>
          <w:color w:val="333333"/>
          <w:shd w:val="clear" w:color="auto" w:fill="FFFFFF"/>
        </w:rPr>
      </w:pPr>
      <w:r w:rsidRPr="005C2504">
        <w:rPr>
          <w:rFonts w:eastAsia="Times New Roman" w:cstheme="minorHAnsi"/>
        </w:rPr>
        <w:t>Learn more</w:t>
      </w:r>
      <w:r w:rsidR="005726B5" w:rsidRPr="005C2504">
        <w:rPr>
          <w:rFonts w:eastAsia="Times New Roman" w:cstheme="minorHAnsi"/>
        </w:rPr>
        <w:t xml:space="preserve">: </w:t>
      </w:r>
      <w:r w:rsidRPr="005C2504">
        <w:rPr>
          <w:rFonts w:eastAsia="Times New Roman" w:cstheme="minorHAnsi"/>
        </w:rPr>
        <w:t>FAQs at</w:t>
      </w:r>
      <w:r w:rsidRPr="005C2504">
        <w:rPr>
          <w:rFonts w:eastAsia="Times New Roman" w:cstheme="minorHAnsi"/>
          <w:color w:val="333333"/>
        </w:rPr>
        <w:t xml:space="preserve"> </w:t>
      </w:r>
      <w:hyperlink r:id="rId22" w:anchor="/covid-19.htm" w:history="1">
        <w:r w:rsidRPr="005C2504">
          <w:rPr>
            <w:rStyle w:val="Hyperlink"/>
            <w:rFonts w:cstheme="minorHAnsi"/>
          </w:rPr>
          <w:t>grants.nih.gov/</w:t>
        </w:r>
        <w:proofErr w:type="spellStart"/>
        <w:r w:rsidRPr="005C2504">
          <w:rPr>
            <w:rStyle w:val="Hyperlink"/>
            <w:rFonts w:cstheme="minorHAnsi"/>
          </w:rPr>
          <w:t>faqs</w:t>
        </w:r>
        <w:proofErr w:type="spellEnd"/>
        <w:r w:rsidRPr="005C2504">
          <w:rPr>
            <w:rStyle w:val="Hyperlink"/>
            <w:rFonts w:cstheme="minorHAnsi"/>
          </w:rPr>
          <w:t>#/covid-19.htm</w:t>
        </w:r>
      </w:hyperlink>
    </w:p>
    <w:p w14:paraId="5C383BD5" w14:textId="359F1367" w:rsidR="008116B5" w:rsidRDefault="008116B5" w:rsidP="00D278BF">
      <w:pPr>
        <w:pStyle w:val="Heading2"/>
      </w:pPr>
      <w:r>
        <w:t xml:space="preserve">Final </w:t>
      </w:r>
      <w:r w:rsidR="00D278BF">
        <w:t>Advice</w:t>
      </w:r>
    </w:p>
    <w:p w14:paraId="6BE40448" w14:textId="7F4ABECC" w:rsidR="00B00C55" w:rsidRDefault="00B00C55" w:rsidP="00D278BF">
      <w:pPr>
        <w:pStyle w:val="ListParagraph"/>
        <w:numPr>
          <w:ilvl w:val="0"/>
          <w:numId w:val="12"/>
        </w:numPr>
      </w:pPr>
      <w:r>
        <w:t xml:space="preserve">For general questions </w:t>
      </w:r>
      <w:r w:rsidR="00303819">
        <w:t xml:space="preserve">regarding these flexibilities </w:t>
      </w:r>
      <w:r>
        <w:t xml:space="preserve">contact </w:t>
      </w:r>
      <w:r w:rsidR="00D40928">
        <w:t xml:space="preserve">the NIH Office of Extramural Research </w:t>
      </w:r>
      <w:r>
        <w:t xml:space="preserve">at </w:t>
      </w:r>
      <w:hyperlink r:id="rId23" w:history="1">
        <w:r w:rsidR="000E2C6F" w:rsidRPr="00E11CE4">
          <w:rPr>
            <w:rStyle w:val="Hyperlink"/>
          </w:rPr>
          <w:t>grantspolicy@nih.gov</w:t>
        </w:r>
      </w:hyperlink>
      <w:r w:rsidR="000E2C6F">
        <w:t xml:space="preserve"> </w:t>
      </w:r>
    </w:p>
    <w:p w14:paraId="32B8167C" w14:textId="55A78EB3" w:rsidR="00D278BF" w:rsidRPr="00D278BF" w:rsidRDefault="00303819" w:rsidP="00D278BF">
      <w:pPr>
        <w:pStyle w:val="ListParagraph"/>
        <w:numPr>
          <w:ilvl w:val="0"/>
          <w:numId w:val="12"/>
        </w:numPr>
      </w:pPr>
      <w:r>
        <w:t>For questions specific to your NIH award contact the</w:t>
      </w:r>
      <w:r w:rsidR="003522AD">
        <w:t xml:space="preserve"> grants management and program staff</w:t>
      </w:r>
      <w:r w:rsidR="00D40928">
        <w:t xml:space="preserve"> of the funding institute or center</w:t>
      </w:r>
      <w:r>
        <w:t>.</w:t>
      </w:r>
    </w:p>
    <w:p w14:paraId="3F8E219A" w14:textId="5B781782" w:rsidR="009102F9" w:rsidRDefault="001F18B7" w:rsidP="00DF6A2D">
      <w:pPr>
        <w:pStyle w:val="ListParagraph"/>
        <w:numPr>
          <w:ilvl w:val="0"/>
          <w:numId w:val="12"/>
        </w:numPr>
      </w:pPr>
      <w:r>
        <w:t xml:space="preserve">Monitor </w:t>
      </w:r>
      <w:hyperlink r:id="rId24" w:history="1">
        <w:r w:rsidR="00F50A7B" w:rsidRPr="004A3ADC">
          <w:rPr>
            <w:rStyle w:val="Hyperlink"/>
          </w:rPr>
          <w:t>Coronavirus Disease 2019 (COVID-19): Information for NIH Applicants and Recipients of NIH Funding</w:t>
        </w:r>
      </w:hyperlink>
      <w:r w:rsidR="00F50A7B">
        <w:t xml:space="preserve"> website</w:t>
      </w:r>
      <w:r w:rsidR="00D96ACF">
        <w:t xml:space="preserve"> for new information</w:t>
      </w:r>
    </w:p>
    <w:sectPr w:rsidR="009102F9" w:rsidSect="00B95153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2527"/>
    <w:multiLevelType w:val="hybridMultilevel"/>
    <w:tmpl w:val="F612D4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66CE"/>
    <w:multiLevelType w:val="multilevel"/>
    <w:tmpl w:val="78B0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60C46"/>
    <w:multiLevelType w:val="hybridMultilevel"/>
    <w:tmpl w:val="1026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09B2"/>
    <w:multiLevelType w:val="multilevel"/>
    <w:tmpl w:val="5ABE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757C0D"/>
    <w:multiLevelType w:val="hybridMultilevel"/>
    <w:tmpl w:val="9B743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97E42"/>
    <w:multiLevelType w:val="hybridMultilevel"/>
    <w:tmpl w:val="ECA2BB40"/>
    <w:lvl w:ilvl="0" w:tplc="184A2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C9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43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AC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66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23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D2A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AD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66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961E11"/>
    <w:multiLevelType w:val="multilevel"/>
    <w:tmpl w:val="3B1E5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0E03FC"/>
    <w:multiLevelType w:val="hybridMultilevel"/>
    <w:tmpl w:val="F17263D8"/>
    <w:lvl w:ilvl="0" w:tplc="ACBC1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EC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20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A2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48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21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21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C43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969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3555F8"/>
    <w:multiLevelType w:val="hybridMultilevel"/>
    <w:tmpl w:val="8FA8BB28"/>
    <w:lvl w:ilvl="0" w:tplc="6D18B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80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2A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CB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A3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0D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82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0C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0B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B320CC"/>
    <w:multiLevelType w:val="hybridMultilevel"/>
    <w:tmpl w:val="D01E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E6E93"/>
    <w:multiLevelType w:val="hybridMultilevel"/>
    <w:tmpl w:val="8FB4991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B4240B2"/>
    <w:multiLevelType w:val="hybridMultilevel"/>
    <w:tmpl w:val="E47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3064C"/>
    <w:multiLevelType w:val="hybridMultilevel"/>
    <w:tmpl w:val="F4E6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E6354"/>
    <w:multiLevelType w:val="multilevel"/>
    <w:tmpl w:val="BF80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C93B85"/>
    <w:multiLevelType w:val="hybridMultilevel"/>
    <w:tmpl w:val="BCE075E2"/>
    <w:lvl w:ilvl="0" w:tplc="F904B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6BA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22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46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0A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E9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68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ED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6B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C11349"/>
    <w:multiLevelType w:val="multilevel"/>
    <w:tmpl w:val="F31036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D46DD3"/>
    <w:multiLevelType w:val="hybridMultilevel"/>
    <w:tmpl w:val="17D0C64A"/>
    <w:lvl w:ilvl="0" w:tplc="BB2E8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6E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E5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AC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4F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81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CB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D67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A3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76D71F5"/>
    <w:multiLevelType w:val="hybridMultilevel"/>
    <w:tmpl w:val="2FB20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2476A"/>
    <w:multiLevelType w:val="hybridMultilevel"/>
    <w:tmpl w:val="E21A926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2"/>
  </w:num>
  <w:num w:numId="5">
    <w:abstractNumId w:val="17"/>
  </w:num>
  <w:num w:numId="6">
    <w:abstractNumId w:val="15"/>
  </w:num>
  <w:num w:numId="7">
    <w:abstractNumId w:val="9"/>
  </w:num>
  <w:num w:numId="8">
    <w:abstractNumId w:val="5"/>
  </w:num>
  <w:num w:numId="9">
    <w:abstractNumId w:val="18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3"/>
  </w:num>
  <w:num w:numId="15">
    <w:abstractNumId w:val="13"/>
  </w:num>
  <w:num w:numId="16">
    <w:abstractNumId w:val="16"/>
  </w:num>
  <w:num w:numId="17">
    <w:abstractNumId w:val="14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9C"/>
    <w:rsid w:val="00005D72"/>
    <w:rsid w:val="00007470"/>
    <w:rsid w:val="00017FC9"/>
    <w:rsid w:val="00072A92"/>
    <w:rsid w:val="00093BF4"/>
    <w:rsid w:val="000C7356"/>
    <w:rsid w:val="000D718D"/>
    <w:rsid w:val="000E2C6F"/>
    <w:rsid w:val="000F63BC"/>
    <w:rsid w:val="00110BA6"/>
    <w:rsid w:val="00116257"/>
    <w:rsid w:val="00164EFE"/>
    <w:rsid w:val="0016715F"/>
    <w:rsid w:val="0018288B"/>
    <w:rsid w:val="001D2D9C"/>
    <w:rsid w:val="001D4F8C"/>
    <w:rsid w:val="001D6374"/>
    <w:rsid w:val="001E3C01"/>
    <w:rsid w:val="001F18B7"/>
    <w:rsid w:val="00241A71"/>
    <w:rsid w:val="002420FA"/>
    <w:rsid w:val="002672F0"/>
    <w:rsid w:val="00272488"/>
    <w:rsid w:val="0028481D"/>
    <w:rsid w:val="00294D9F"/>
    <w:rsid w:val="002B380F"/>
    <w:rsid w:val="002D010F"/>
    <w:rsid w:val="00302391"/>
    <w:rsid w:val="00303819"/>
    <w:rsid w:val="00313DFF"/>
    <w:rsid w:val="0032246A"/>
    <w:rsid w:val="003267C1"/>
    <w:rsid w:val="003314C8"/>
    <w:rsid w:val="00351D61"/>
    <w:rsid w:val="003522AD"/>
    <w:rsid w:val="00353E69"/>
    <w:rsid w:val="00361420"/>
    <w:rsid w:val="003860D6"/>
    <w:rsid w:val="003D20F9"/>
    <w:rsid w:val="003E2712"/>
    <w:rsid w:val="00422EDA"/>
    <w:rsid w:val="004309D5"/>
    <w:rsid w:val="00435D91"/>
    <w:rsid w:val="00441AF6"/>
    <w:rsid w:val="00450CFF"/>
    <w:rsid w:val="004576DA"/>
    <w:rsid w:val="00471420"/>
    <w:rsid w:val="004732F9"/>
    <w:rsid w:val="00494CD9"/>
    <w:rsid w:val="00495609"/>
    <w:rsid w:val="004A3ADC"/>
    <w:rsid w:val="004F29C1"/>
    <w:rsid w:val="00543B74"/>
    <w:rsid w:val="005573A4"/>
    <w:rsid w:val="00570D24"/>
    <w:rsid w:val="005726B5"/>
    <w:rsid w:val="005A2AC1"/>
    <w:rsid w:val="005C2504"/>
    <w:rsid w:val="005C4FE2"/>
    <w:rsid w:val="005D7A59"/>
    <w:rsid w:val="005E2A6A"/>
    <w:rsid w:val="005F013D"/>
    <w:rsid w:val="00624C62"/>
    <w:rsid w:val="00626714"/>
    <w:rsid w:val="0063019E"/>
    <w:rsid w:val="00650B68"/>
    <w:rsid w:val="00686A3C"/>
    <w:rsid w:val="006E6D42"/>
    <w:rsid w:val="006F069E"/>
    <w:rsid w:val="00731417"/>
    <w:rsid w:val="00731B13"/>
    <w:rsid w:val="0074154E"/>
    <w:rsid w:val="00790481"/>
    <w:rsid w:val="007C1589"/>
    <w:rsid w:val="007F6DAC"/>
    <w:rsid w:val="007F7D69"/>
    <w:rsid w:val="00803A42"/>
    <w:rsid w:val="008116B5"/>
    <w:rsid w:val="00815F79"/>
    <w:rsid w:val="00823C53"/>
    <w:rsid w:val="0082574C"/>
    <w:rsid w:val="0086781D"/>
    <w:rsid w:val="00871C19"/>
    <w:rsid w:val="00872B6C"/>
    <w:rsid w:val="0089343F"/>
    <w:rsid w:val="008C2607"/>
    <w:rsid w:val="008D0AE5"/>
    <w:rsid w:val="008D5F66"/>
    <w:rsid w:val="008F31D0"/>
    <w:rsid w:val="00902F7F"/>
    <w:rsid w:val="0090475D"/>
    <w:rsid w:val="009102F9"/>
    <w:rsid w:val="0091060C"/>
    <w:rsid w:val="00924AD8"/>
    <w:rsid w:val="00950CD3"/>
    <w:rsid w:val="009752E1"/>
    <w:rsid w:val="00976FBE"/>
    <w:rsid w:val="009B26A6"/>
    <w:rsid w:val="009B46E2"/>
    <w:rsid w:val="009D6922"/>
    <w:rsid w:val="00A0060A"/>
    <w:rsid w:val="00A00710"/>
    <w:rsid w:val="00A02ECE"/>
    <w:rsid w:val="00A11E14"/>
    <w:rsid w:val="00A368DE"/>
    <w:rsid w:val="00A734D6"/>
    <w:rsid w:val="00A9634D"/>
    <w:rsid w:val="00AC64B8"/>
    <w:rsid w:val="00AD2D92"/>
    <w:rsid w:val="00AE3538"/>
    <w:rsid w:val="00AF56E2"/>
    <w:rsid w:val="00B00C55"/>
    <w:rsid w:val="00B215CA"/>
    <w:rsid w:val="00B33F76"/>
    <w:rsid w:val="00B41027"/>
    <w:rsid w:val="00B43B43"/>
    <w:rsid w:val="00B46490"/>
    <w:rsid w:val="00B4725D"/>
    <w:rsid w:val="00B52925"/>
    <w:rsid w:val="00B60EC8"/>
    <w:rsid w:val="00B701AD"/>
    <w:rsid w:val="00B95153"/>
    <w:rsid w:val="00BA59F6"/>
    <w:rsid w:val="00BC0551"/>
    <w:rsid w:val="00BE39E8"/>
    <w:rsid w:val="00C07627"/>
    <w:rsid w:val="00C31A94"/>
    <w:rsid w:val="00C727AB"/>
    <w:rsid w:val="00C83DCC"/>
    <w:rsid w:val="00CA3666"/>
    <w:rsid w:val="00CC11A0"/>
    <w:rsid w:val="00CC3488"/>
    <w:rsid w:val="00CE277C"/>
    <w:rsid w:val="00D03007"/>
    <w:rsid w:val="00D1037C"/>
    <w:rsid w:val="00D241E9"/>
    <w:rsid w:val="00D25B83"/>
    <w:rsid w:val="00D278BF"/>
    <w:rsid w:val="00D37C29"/>
    <w:rsid w:val="00D40928"/>
    <w:rsid w:val="00D54988"/>
    <w:rsid w:val="00D629A8"/>
    <w:rsid w:val="00D64060"/>
    <w:rsid w:val="00D77529"/>
    <w:rsid w:val="00D85242"/>
    <w:rsid w:val="00D8545E"/>
    <w:rsid w:val="00D96ACF"/>
    <w:rsid w:val="00DA1F22"/>
    <w:rsid w:val="00DB1DFF"/>
    <w:rsid w:val="00DB249A"/>
    <w:rsid w:val="00DC149F"/>
    <w:rsid w:val="00DF6A2D"/>
    <w:rsid w:val="00DF708C"/>
    <w:rsid w:val="00E04166"/>
    <w:rsid w:val="00E21DD0"/>
    <w:rsid w:val="00E57770"/>
    <w:rsid w:val="00E61159"/>
    <w:rsid w:val="00EA4EFC"/>
    <w:rsid w:val="00EB736C"/>
    <w:rsid w:val="00EC5392"/>
    <w:rsid w:val="00F06EF6"/>
    <w:rsid w:val="00F2383D"/>
    <w:rsid w:val="00F3235D"/>
    <w:rsid w:val="00F34C77"/>
    <w:rsid w:val="00F50A7B"/>
    <w:rsid w:val="00F520C3"/>
    <w:rsid w:val="00F521F9"/>
    <w:rsid w:val="00F652D5"/>
    <w:rsid w:val="00F70476"/>
    <w:rsid w:val="00FA3C7C"/>
    <w:rsid w:val="00FA403F"/>
    <w:rsid w:val="00FB67B7"/>
    <w:rsid w:val="00F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89F8"/>
  <w15:chartTrackingRefBased/>
  <w15:docId w15:val="{3E91880D-7B15-4079-8EAC-8B88AF3E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3F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D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2D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D2D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3F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B33F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6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7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1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14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701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8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6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7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65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84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00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8503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4513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563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736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421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2722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665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582">
          <w:marLeft w:val="274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policy/natural-disasters/corona-virus.htm" TargetMode="External"/><Relationship Id="rId13" Type="http://schemas.openxmlformats.org/officeDocument/2006/relationships/hyperlink" Target="https://grants.nih.gov/grants/guide/notice-files/NOT-OD-20-123.html" TargetMode="External"/><Relationship Id="rId18" Type="http://schemas.openxmlformats.org/officeDocument/2006/relationships/hyperlink" Target="https://grants.nih.gov/grants/guide/notice-files/NOT-OD-20-088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grants.nih.gov/faq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grants.nih.gov/policy/natural-disasters/corona-virus.htm" TargetMode="External"/><Relationship Id="rId17" Type="http://schemas.openxmlformats.org/officeDocument/2006/relationships/hyperlink" Target="https://grants.nih.gov/faq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rants.nih.gov/grants/guide/notice-files/NOT-OD-20-087.html" TargetMode="External"/><Relationship Id="rId20" Type="http://schemas.openxmlformats.org/officeDocument/2006/relationships/hyperlink" Target="https://grants.nih.gov/policy/natural-disasters/corona-virus/nih-omb-memo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ants.nih.gov/grants/guide/notice-files/NOT-OD-15-039.html" TargetMode="External"/><Relationship Id="rId24" Type="http://schemas.openxmlformats.org/officeDocument/2006/relationships/hyperlink" Target="https://grants.nih.gov/policy/natural-disasters/corona-virus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grants.nih.gov/faqs" TargetMode="External"/><Relationship Id="rId23" Type="http://schemas.openxmlformats.org/officeDocument/2006/relationships/hyperlink" Target="mailto:grantspolicy@nih.gov" TargetMode="External"/><Relationship Id="rId10" Type="http://schemas.openxmlformats.org/officeDocument/2006/relationships/hyperlink" Target="https://grants.nih.gov/faqs" TargetMode="External"/><Relationship Id="rId19" Type="http://schemas.openxmlformats.org/officeDocument/2006/relationships/hyperlink" Target="https://olaw.nih.gov/covid-19.ht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rants.nih.gov/policy/natural-disasters/corona-virus.htm" TargetMode="External"/><Relationship Id="rId14" Type="http://schemas.openxmlformats.org/officeDocument/2006/relationships/hyperlink" Target="https://grants.nih.gov/policy/natural-disasters/corona-virus/nih-omb-memo.htm" TargetMode="External"/><Relationship Id="rId22" Type="http://schemas.openxmlformats.org/officeDocument/2006/relationships/hyperlink" Target="https://grants.nih.gov/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3" ma:contentTypeDescription="Create a new document." ma:contentTypeScope="" ma:versionID="951b7853fda8b290787a94855b2cb5ba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ec22e9683466fa1a297f1f0a5d3bee90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31641-49BC-4224-9483-5EF634E142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D11FF8-C765-476D-8E00-2361C90A7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708B5-8BBC-4711-B870-555ACD61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Columbus, Megan (NIH/OD) [E]</dc:creator>
  <cp:keywords/>
  <dc:description/>
  <cp:lastModifiedBy>Dorsey, Michael (NIH/OD) [E]</cp:lastModifiedBy>
  <cp:revision>6</cp:revision>
  <dcterms:created xsi:type="dcterms:W3CDTF">2020-07-14T11:40:00Z</dcterms:created>
  <dcterms:modified xsi:type="dcterms:W3CDTF">2020-07-22T16:22:00Z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</Properties>
</file>